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17DE1" w14:textId="77777777" w:rsidR="00803EF1" w:rsidRPr="008715F4" w:rsidRDefault="008562BA" w:rsidP="005A10E4">
      <w:pPr>
        <w:pStyle w:val="Heading2"/>
        <w:spacing w:before="0"/>
        <w:rPr>
          <w:u w:val="single"/>
        </w:rPr>
      </w:pPr>
      <w:r w:rsidRPr="008715F4">
        <w:rPr>
          <w:u w:val="single"/>
        </w:rPr>
        <w:t xml:space="preserve">Non-paper: COVAX Facility governance </w:t>
      </w:r>
      <w:r w:rsidR="00C6409A" w:rsidRPr="008715F4">
        <w:rPr>
          <w:u w:val="single"/>
        </w:rPr>
        <w:t>structure</w:t>
      </w:r>
    </w:p>
    <w:p w14:paraId="40D6E393" w14:textId="77777777" w:rsidR="00A103F8" w:rsidRDefault="00A103F8" w:rsidP="008562BA"/>
    <w:p w14:paraId="0EE55925" w14:textId="29C4B699" w:rsidR="00732D05" w:rsidRDefault="00732D05" w:rsidP="002172BB">
      <w:pPr>
        <w:jc w:val="both"/>
      </w:pPr>
      <w:r>
        <w:t>The purpose of this paper is to support the development of robust, effective and accountable go</w:t>
      </w:r>
      <w:r w:rsidR="00EE2F90">
        <w:t>vernance of the COVAX Facility.</w:t>
      </w:r>
    </w:p>
    <w:p w14:paraId="0F9992A6" w14:textId="77777777" w:rsidR="00732D05" w:rsidRDefault="00732D05" w:rsidP="008562BA"/>
    <w:p w14:paraId="119B923F" w14:textId="2B55B05B" w:rsidR="00C52200" w:rsidRDefault="00B532F0" w:rsidP="00817350">
      <w:pPr>
        <w:pStyle w:val="ListParagraph"/>
        <w:numPr>
          <w:ilvl w:val="0"/>
          <w:numId w:val="15"/>
        </w:numPr>
        <w:spacing w:line="276" w:lineRule="auto"/>
        <w:jc w:val="both"/>
      </w:pPr>
      <w:r>
        <w:t>The success of the COVAX Facility</w:t>
      </w:r>
      <w:r w:rsidR="00DA2758">
        <w:t xml:space="preserve"> </w:t>
      </w:r>
      <w:r w:rsidR="005D7212">
        <w:t>will rely not only on the strength of</w:t>
      </w:r>
      <w:r w:rsidR="001652D7">
        <w:t xml:space="preserve"> commercial commitments </w:t>
      </w:r>
      <w:r w:rsidR="005D7212">
        <w:t xml:space="preserve">from self-financing participants, </w:t>
      </w:r>
      <w:r w:rsidR="001652D7">
        <w:t>but also</w:t>
      </w:r>
      <w:r w:rsidR="00DA2758">
        <w:t xml:space="preserve"> </w:t>
      </w:r>
      <w:r w:rsidR="00817350">
        <w:t xml:space="preserve">on a lasting </w:t>
      </w:r>
      <w:r w:rsidR="00817350" w:rsidRPr="00817350">
        <w:rPr>
          <w:b/>
        </w:rPr>
        <w:t>political licence to operate</w:t>
      </w:r>
      <w:r w:rsidR="00DA2758">
        <w:t xml:space="preserve">. </w:t>
      </w:r>
      <w:r w:rsidR="00C52200">
        <w:t xml:space="preserve">Participants will have both self-interests (represented through their binding commitments </w:t>
      </w:r>
      <w:r w:rsidR="00176F25">
        <w:t xml:space="preserve">with </w:t>
      </w:r>
      <w:r w:rsidR="00B124E7">
        <w:t xml:space="preserve">the </w:t>
      </w:r>
      <w:proofErr w:type="spellStart"/>
      <w:r w:rsidR="00C52200">
        <w:t>Gavi</w:t>
      </w:r>
      <w:proofErr w:type="spellEnd"/>
      <w:r w:rsidR="00C52200">
        <w:t xml:space="preserve"> </w:t>
      </w:r>
      <w:r w:rsidR="00B124E7">
        <w:t xml:space="preserve">Alliance, </w:t>
      </w:r>
      <w:r w:rsidR="00C52200">
        <w:t>as the legal entity) and collective-interests</w:t>
      </w:r>
      <w:r w:rsidR="00B124E7">
        <w:t>,</w:t>
      </w:r>
      <w:r w:rsidR="00C52200">
        <w:t xml:space="preserve"> which they will want to continue to pursue through an appropriate and </w:t>
      </w:r>
      <w:r w:rsidR="00EE2F90">
        <w:t>effective governance mechanism.</w:t>
      </w:r>
      <w:r w:rsidR="00C10EC6" w:rsidRPr="00C10EC6">
        <w:t xml:space="preserve"> </w:t>
      </w:r>
      <w:r w:rsidR="00C10EC6">
        <w:t xml:space="preserve">As </w:t>
      </w:r>
      <w:r w:rsidR="00C10EC6" w:rsidRPr="00C10EC6">
        <w:t xml:space="preserve">an existing legal entity </w:t>
      </w:r>
      <w:proofErr w:type="spellStart"/>
      <w:r w:rsidR="00C413C9">
        <w:t>Gavi</w:t>
      </w:r>
      <w:proofErr w:type="spellEnd"/>
      <w:r w:rsidR="00C10EC6" w:rsidRPr="00C10EC6">
        <w:t xml:space="preserve"> </w:t>
      </w:r>
      <w:r w:rsidR="00C10EC6">
        <w:t xml:space="preserve">has been used </w:t>
      </w:r>
      <w:r w:rsidR="00C10EC6" w:rsidRPr="00C10EC6">
        <w:t xml:space="preserve">to administer the Facility in order to save time and leverage the track record of </w:t>
      </w:r>
      <w:proofErr w:type="spellStart"/>
      <w:r w:rsidR="00C10EC6" w:rsidRPr="00C10EC6">
        <w:t>Gavi</w:t>
      </w:r>
      <w:proofErr w:type="spellEnd"/>
      <w:r w:rsidR="00C10EC6" w:rsidRPr="00C10EC6">
        <w:t xml:space="preserve"> and its Alliance</w:t>
      </w:r>
      <w:r w:rsidR="00C413C9">
        <w:t xml:space="preserve">. </w:t>
      </w:r>
      <w:r w:rsidR="00C10EC6">
        <w:t xml:space="preserve"> </w:t>
      </w:r>
      <w:r w:rsidR="00C413C9">
        <w:t>H</w:t>
      </w:r>
      <w:r w:rsidR="00C10EC6">
        <w:t xml:space="preserve">osting of the </w:t>
      </w:r>
      <w:r w:rsidR="00C10EC6" w:rsidRPr="00C10EC6">
        <w:t xml:space="preserve">Facility </w:t>
      </w:r>
      <w:r w:rsidR="00C10EC6">
        <w:t xml:space="preserve">should </w:t>
      </w:r>
      <w:r w:rsidR="00C10EC6" w:rsidRPr="00C10EC6">
        <w:t xml:space="preserve">not impede </w:t>
      </w:r>
      <w:proofErr w:type="spellStart"/>
      <w:r w:rsidR="00C10EC6" w:rsidRPr="00C10EC6">
        <w:t>Gavi’s</w:t>
      </w:r>
      <w:proofErr w:type="spellEnd"/>
      <w:r w:rsidR="00C10EC6" w:rsidRPr="00C10EC6">
        <w:t xml:space="preserve"> existing vital programmes.</w:t>
      </w:r>
    </w:p>
    <w:p w14:paraId="0FF1CB66" w14:textId="77777777" w:rsidR="00C10EC6" w:rsidRDefault="00C10EC6" w:rsidP="00C52200">
      <w:pPr>
        <w:pStyle w:val="ListParagraph"/>
        <w:spacing w:line="276" w:lineRule="auto"/>
        <w:ind w:left="360"/>
        <w:jc w:val="both"/>
      </w:pPr>
    </w:p>
    <w:p w14:paraId="565C63BE" w14:textId="7D9C09A3" w:rsidR="001652D7" w:rsidRDefault="00817350" w:rsidP="00817350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The </w:t>
      </w:r>
      <w:proofErr w:type="spellStart"/>
      <w:r w:rsidR="00120340">
        <w:t>Gavi</w:t>
      </w:r>
      <w:proofErr w:type="spellEnd"/>
      <w:r w:rsidR="00120340">
        <w:t xml:space="preserve"> Alliance will establish the </w:t>
      </w:r>
      <w:r w:rsidR="00120340" w:rsidRPr="002A63B5">
        <w:rPr>
          <w:b/>
        </w:rPr>
        <w:t xml:space="preserve">Office of the </w:t>
      </w:r>
      <w:r w:rsidRPr="002A63B5">
        <w:rPr>
          <w:b/>
        </w:rPr>
        <w:t>COVAX Facility</w:t>
      </w:r>
      <w:r w:rsidR="00120340">
        <w:t xml:space="preserve"> to execute the mandate derived from its binding commitments with participating economies.</w:t>
      </w:r>
      <w:r>
        <w:t xml:space="preserve"> </w:t>
      </w:r>
      <w:r w:rsidR="009B47CA">
        <w:t>The Office of the COVAX Facility</w:t>
      </w:r>
      <w:r w:rsidR="00120340">
        <w:t xml:space="preserve"> will need to </w:t>
      </w:r>
      <w:r>
        <w:t xml:space="preserve">implement </w:t>
      </w:r>
      <w:r w:rsidR="00120340">
        <w:t xml:space="preserve">these </w:t>
      </w:r>
      <w:r>
        <w:t xml:space="preserve">mandated technical processes with agility in an environment of urgency and uncertainty. </w:t>
      </w:r>
      <w:r w:rsidR="009B47CA">
        <w:t xml:space="preserve">Participating economies </w:t>
      </w:r>
      <w:r w:rsidR="00C52200">
        <w:t>will need</w:t>
      </w:r>
      <w:r w:rsidR="009C7F73">
        <w:t xml:space="preserve"> oversight of these </w:t>
      </w:r>
      <w:r>
        <w:t xml:space="preserve">processes </w:t>
      </w:r>
      <w:r w:rsidR="00C52200">
        <w:t>to provide assurance that the</w:t>
      </w:r>
      <w:r>
        <w:t xml:space="preserve"> COVAX Facility is </w:t>
      </w:r>
      <w:r w:rsidR="00C52200">
        <w:t xml:space="preserve">executing its mandate appropriately. </w:t>
      </w:r>
      <w:r w:rsidR="009B47CA">
        <w:t xml:space="preserve">Participating economies will </w:t>
      </w:r>
      <w:r w:rsidR="00C52200">
        <w:t>also require a mechanism through which they can</w:t>
      </w:r>
      <w:r w:rsidR="005D7212">
        <w:t xml:space="preserve"> </w:t>
      </w:r>
      <w:r>
        <w:t>guide the COVAX Facility’s strategic direction</w:t>
      </w:r>
      <w:r w:rsidR="00C52200">
        <w:t xml:space="preserve"> and take decisions on emerging strategic issues not covered</w:t>
      </w:r>
      <w:r w:rsidR="00C056FE">
        <w:t xml:space="preserve"> or fully defined</w:t>
      </w:r>
      <w:r w:rsidR="00C52200">
        <w:t xml:space="preserve"> </w:t>
      </w:r>
      <w:r w:rsidR="0055474D">
        <w:t xml:space="preserve">in the Terms and Conditions or </w:t>
      </w:r>
      <w:r w:rsidR="00C52200">
        <w:t>Co</w:t>
      </w:r>
      <w:r w:rsidR="0055474D">
        <w:t>mmitment Agreements</w:t>
      </w:r>
      <w:r w:rsidR="001B1F91">
        <w:t xml:space="preserve"> (</w:t>
      </w:r>
      <w:r w:rsidR="000455A9">
        <w:t>for example</w:t>
      </w:r>
      <w:r w:rsidR="001B1F91">
        <w:t xml:space="preserve"> the COVAX Exchange)</w:t>
      </w:r>
      <w:r w:rsidR="00EE2F90">
        <w:t>.</w:t>
      </w:r>
    </w:p>
    <w:p w14:paraId="316B5148" w14:textId="77777777" w:rsidR="004F1F05" w:rsidRDefault="004F1F05" w:rsidP="004F1F05">
      <w:pPr>
        <w:pStyle w:val="ListParagraph"/>
        <w:spacing w:line="276" w:lineRule="auto"/>
        <w:ind w:left="360"/>
        <w:jc w:val="both"/>
      </w:pPr>
    </w:p>
    <w:p w14:paraId="7D1A0826" w14:textId="77777777" w:rsidR="004F1F05" w:rsidRDefault="004F1F05" w:rsidP="00817350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This non-paper explores the locus of </w:t>
      </w:r>
      <w:r w:rsidRPr="00E64B37">
        <w:rPr>
          <w:b/>
        </w:rPr>
        <w:t>roles and responsibilities</w:t>
      </w:r>
      <w:r>
        <w:t xml:space="preserve"> in a possible COVAX Facility governance structure in accordance wi</w:t>
      </w:r>
      <w:r w:rsidR="00795E14">
        <w:t xml:space="preserve">th a set of proposed principles, which aim to balance fast-paced technical decision-making </w:t>
      </w:r>
      <w:r w:rsidR="0055474D">
        <w:t>and</w:t>
      </w:r>
      <w:r w:rsidR="00C52200">
        <w:t xml:space="preserve"> ensuring </w:t>
      </w:r>
      <w:r w:rsidR="009B47CA">
        <w:t xml:space="preserve">participating economies </w:t>
      </w:r>
      <w:r w:rsidR="0055474D">
        <w:t>retain</w:t>
      </w:r>
      <w:r w:rsidR="00795E14">
        <w:t xml:space="preserve"> high-level oversight of the COVAX Facility’s operations and strategic direction.</w:t>
      </w:r>
    </w:p>
    <w:p w14:paraId="6AB7A791" w14:textId="77777777" w:rsidR="00817350" w:rsidRDefault="00817350" w:rsidP="00817350">
      <w:pPr>
        <w:spacing w:line="276" w:lineRule="auto"/>
        <w:jc w:val="both"/>
      </w:pPr>
    </w:p>
    <w:p w14:paraId="22A458FE" w14:textId="77777777" w:rsidR="002D5BF8" w:rsidRDefault="002D5BF8" w:rsidP="002D5BF8">
      <w:pPr>
        <w:spacing w:line="276" w:lineRule="auto"/>
        <w:jc w:val="both"/>
      </w:pPr>
      <w:r>
        <w:rPr>
          <w:b/>
        </w:rPr>
        <w:t>Principles</w:t>
      </w:r>
    </w:p>
    <w:p w14:paraId="15F6D0A8" w14:textId="77777777" w:rsidR="00B532F0" w:rsidRPr="00817350" w:rsidRDefault="00B532F0" w:rsidP="00817350">
      <w:pPr>
        <w:spacing w:line="276" w:lineRule="auto"/>
        <w:jc w:val="both"/>
        <w:rPr>
          <w:lang w:val="en-AU"/>
        </w:rPr>
      </w:pPr>
    </w:p>
    <w:p w14:paraId="38AF8257" w14:textId="77777777" w:rsidR="002D5BF8" w:rsidRDefault="00E64B37" w:rsidP="00817350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The </w:t>
      </w:r>
      <w:r w:rsidR="00C6409A">
        <w:t xml:space="preserve">COVAX Facility governance </w:t>
      </w:r>
      <w:r>
        <w:t xml:space="preserve">structure </w:t>
      </w:r>
      <w:r w:rsidR="00C6409A">
        <w:t>should</w:t>
      </w:r>
      <w:r w:rsidR="00817350">
        <w:t xml:space="preserve"> </w:t>
      </w:r>
      <w:r w:rsidR="00C6409A">
        <w:t>enable and provide:</w:t>
      </w:r>
    </w:p>
    <w:p w14:paraId="40281E1F" w14:textId="77777777" w:rsidR="00C6409A" w:rsidRDefault="00C6409A" w:rsidP="002D5BF8">
      <w:pPr>
        <w:spacing w:line="276" w:lineRule="auto"/>
        <w:jc w:val="both"/>
      </w:pPr>
    </w:p>
    <w:p w14:paraId="5E184EEC" w14:textId="77777777" w:rsidR="00970DF5" w:rsidRDefault="00970DF5" w:rsidP="00970DF5">
      <w:pPr>
        <w:numPr>
          <w:ilvl w:val="0"/>
          <w:numId w:val="16"/>
        </w:numPr>
        <w:spacing w:line="276" w:lineRule="auto"/>
        <w:jc w:val="both"/>
        <w:rPr>
          <w:lang w:val="en-AU"/>
        </w:rPr>
      </w:pPr>
      <w:r w:rsidRPr="00970DF5">
        <w:rPr>
          <w:lang w:val="en-AU"/>
        </w:rPr>
        <w:t xml:space="preserve">the highest standards of </w:t>
      </w:r>
      <w:r w:rsidRPr="00970DF5">
        <w:rPr>
          <w:b/>
          <w:lang w:val="en-AU"/>
        </w:rPr>
        <w:t>ethics</w:t>
      </w:r>
      <w:r>
        <w:rPr>
          <w:lang w:val="en-AU"/>
        </w:rPr>
        <w:t>;</w:t>
      </w:r>
    </w:p>
    <w:p w14:paraId="65988E65" w14:textId="77777777" w:rsidR="0055474D" w:rsidRPr="00970DF5" w:rsidRDefault="0055474D" w:rsidP="0055474D">
      <w:pPr>
        <w:spacing w:line="276" w:lineRule="auto"/>
        <w:ind w:left="927"/>
        <w:jc w:val="both"/>
        <w:rPr>
          <w:lang w:val="en-AU"/>
        </w:rPr>
      </w:pPr>
    </w:p>
    <w:p w14:paraId="289BB0A7" w14:textId="77777777" w:rsidR="00970DF5" w:rsidRDefault="00970DF5" w:rsidP="00970DF5">
      <w:pPr>
        <w:numPr>
          <w:ilvl w:val="0"/>
          <w:numId w:val="16"/>
        </w:numPr>
        <w:spacing w:line="276" w:lineRule="auto"/>
        <w:jc w:val="both"/>
        <w:rPr>
          <w:lang w:val="en-AU"/>
        </w:rPr>
      </w:pPr>
      <w:r w:rsidRPr="00970DF5">
        <w:rPr>
          <w:b/>
          <w:lang w:val="en-AU"/>
        </w:rPr>
        <w:t>transparency</w:t>
      </w:r>
      <w:r w:rsidRPr="00970DF5">
        <w:rPr>
          <w:lang w:val="en-AU"/>
        </w:rPr>
        <w:t xml:space="preserve"> through regular information </w:t>
      </w:r>
      <w:r>
        <w:rPr>
          <w:lang w:val="en-AU"/>
        </w:rPr>
        <w:t>sharing;</w:t>
      </w:r>
    </w:p>
    <w:p w14:paraId="77D4C916" w14:textId="77777777" w:rsidR="0055474D" w:rsidRPr="00970DF5" w:rsidRDefault="0055474D" w:rsidP="0055474D">
      <w:pPr>
        <w:spacing w:line="276" w:lineRule="auto"/>
        <w:jc w:val="both"/>
        <w:rPr>
          <w:lang w:val="en-AU"/>
        </w:rPr>
      </w:pPr>
    </w:p>
    <w:p w14:paraId="393349B4" w14:textId="77777777" w:rsidR="00970DF5" w:rsidRDefault="00970DF5" w:rsidP="00970DF5">
      <w:pPr>
        <w:numPr>
          <w:ilvl w:val="0"/>
          <w:numId w:val="16"/>
        </w:numPr>
        <w:spacing w:line="276" w:lineRule="auto"/>
        <w:jc w:val="both"/>
        <w:rPr>
          <w:lang w:val="en-AU"/>
        </w:rPr>
      </w:pPr>
      <w:r w:rsidRPr="00970DF5">
        <w:rPr>
          <w:b/>
          <w:lang w:val="en-AU"/>
        </w:rPr>
        <w:t xml:space="preserve">accountability </w:t>
      </w:r>
      <w:r w:rsidRPr="00970DF5">
        <w:rPr>
          <w:lang w:val="en-AU"/>
        </w:rPr>
        <w:t xml:space="preserve">to all participating </w:t>
      </w:r>
      <w:r w:rsidR="009B47CA">
        <w:rPr>
          <w:lang w:val="en-AU"/>
        </w:rPr>
        <w:t>economies</w:t>
      </w:r>
      <w:r w:rsidR="009B47CA" w:rsidRPr="00970DF5">
        <w:rPr>
          <w:lang w:val="en-AU"/>
        </w:rPr>
        <w:t xml:space="preserve"> </w:t>
      </w:r>
      <w:r w:rsidRPr="00970DF5">
        <w:rPr>
          <w:lang w:val="en-AU"/>
        </w:rPr>
        <w:t>through regular progress and outcome reporting</w:t>
      </w:r>
      <w:r>
        <w:rPr>
          <w:lang w:val="en-AU"/>
        </w:rPr>
        <w:t>;</w:t>
      </w:r>
    </w:p>
    <w:p w14:paraId="7F9F49D7" w14:textId="77777777" w:rsidR="0055474D" w:rsidRPr="00970DF5" w:rsidRDefault="0055474D" w:rsidP="0055474D">
      <w:pPr>
        <w:spacing w:line="276" w:lineRule="auto"/>
        <w:jc w:val="both"/>
        <w:rPr>
          <w:lang w:val="en-AU"/>
        </w:rPr>
      </w:pPr>
    </w:p>
    <w:p w14:paraId="1CE0B9F0" w14:textId="77777777" w:rsidR="00970DF5" w:rsidRDefault="00970DF5" w:rsidP="00970DF5">
      <w:pPr>
        <w:numPr>
          <w:ilvl w:val="0"/>
          <w:numId w:val="16"/>
        </w:numPr>
        <w:spacing w:line="276" w:lineRule="auto"/>
        <w:jc w:val="both"/>
        <w:rPr>
          <w:lang w:val="en-AU"/>
        </w:rPr>
      </w:pPr>
      <w:r w:rsidRPr="00970DF5">
        <w:rPr>
          <w:b/>
          <w:lang w:val="en-AU"/>
        </w:rPr>
        <w:t>high-level direction-setting</w:t>
      </w:r>
      <w:r w:rsidRPr="00970DF5">
        <w:rPr>
          <w:lang w:val="en-AU"/>
        </w:rPr>
        <w:t xml:space="preserve"> to technical bodies</w:t>
      </w:r>
      <w:r>
        <w:rPr>
          <w:lang w:val="en-AU"/>
        </w:rPr>
        <w:t>;</w:t>
      </w:r>
    </w:p>
    <w:p w14:paraId="7449F756" w14:textId="77777777" w:rsidR="0055474D" w:rsidRPr="00970DF5" w:rsidRDefault="0055474D" w:rsidP="0055474D">
      <w:pPr>
        <w:spacing w:line="276" w:lineRule="auto"/>
        <w:jc w:val="both"/>
        <w:rPr>
          <w:lang w:val="en-AU"/>
        </w:rPr>
      </w:pPr>
    </w:p>
    <w:p w14:paraId="54A2A590" w14:textId="77777777" w:rsidR="00970DF5" w:rsidRDefault="00970DF5">
      <w:pPr>
        <w:numPr>
          <w:ilvl w:val="0"/>
          <w:numId w:val="16"/>
        </w:numPr>
        <w:spacing w:line="276" w:lineRule="auto"/>
        <w:jc w:val="both"/>
        <w:rPr>
          <w:lang w:val="en-AU"/>
        </w:rPr>
      </w:pPr>
      <w:r w:rsidRPr="00970DF5">
        <w:rPr>
          <w:b/>
          <w:lang w:val="en-AU"/>
        </w:rPr>
        <w:t>non-politicisation</w:t>
      </w:r>
      <w:r w:rsidRPr="00970DF5">
        <w:rPr>
          <w:lang w:val="en-AU"/>
        </w:rPr>
        <w:t xml:space="preserve"> through charging expert technical bodies </w:t>
      </w:r>
      <w:r w:rsidR="004C293C">
        <w:rPr>
          <w:lang w:val="en-AU"/>
        </w:rPr>
        <w:t>to</w:t>
      </w:r>
      <w:r w:rsidRPr="00970DF5">
        <w:rPr>
          <w:lang w:val="en-AU"/>
        </w:rPr>
        <w:t xml:space="preserve"> mak</w:t>
      </w:r>
      <w:r w:rsidR="004C293C">
        <w:rPr>
          <w:lang w:val="en-AU"/>
        </w:rPr>
        <w:t>e</w:t>
      </w:r>
      <w:r w:rsidRPr="00970DF5">
        <w:rPr>
          <w:lang w:val="en-AU"/>
        </w:rPr>
        <w:t xml:space="preserve"> agile, efficient and responsive decision</w:t>
      </w:r>
      <w:r>
        <w:rPr>
          <w:lang w:val="en-AU"/>
        </w:rPr>
        <w:t>s;</w:t>
      </w:r>
      <w:r w:rsidR="004C293C">
        <w:rPr>
          <w:lang w:val="en-AU"/>
        </w:rPr>
        <w:t xml:space="preserve"> and</w:t>
      </w:r>
    </w:p>
    <w:p w14:paraId="7EB660F2" w14:textId="77777777" w:rsidR="0055474D" w:rsidRPr="00970DF5" w:rsidRDefault="0055474D" w:rsidP="0055474D">
      <w:pPr>
        <w:spacing w:line="276" w:lineRule="auto"/>
        <w:jc w:val="both"/>
        <w:rPr>
          <w:lang w:val="en-AU"/>
        </w:rPr>
      </w:pPr>
    </w:p>
    <w:p w14:paraId="35B229BD" w14:textId="77777777" w:rsidR="00970DF5" w:rsidRPr="00970DF5" w:rsidRDefault="00970DF5" w:rsidP="00970DF5">
      <w:pPr>
        <w:numPr>
          <w:ilvl w:val="0"/>
          <w:numId w:val="16"/>
        </w:numPr>
        <w:spacing w:line="276" w:lineRule="auto"/>
        <w:jc w:val="both"/>
        <w:rPr>
          <w:lang w:val="en-AU"/>
        </w:rPr>
      </w:pPr>
      <w:r w:rsidRPr="00970DF5">
        <w:rPr>
          <w:lang w:val="en-AU"/>
        </w:rPr>
        <w:lastRenderedPageBreak/>
        <w:t xml:space="preserve">clearly defined </w:t>
      </w:r>
      <w:r w:rsidRPr="00BA73A0">
        <w:rPr>
          <w:b/>
          <w:lang w:val="en-AU"/>
        </w:rPr>
        <w:t>roles for governance bodies</w:t>
      </w:r>
      <w:r w:rsidRPr="00970DF5">
        <w:rPr>
          <w:lang w:val="en-AU"/>
        </w:rPr>
        <w:t xml:space="preserve"> of the COVAX Facility and </w:t>
      </w:r>
      <w:r w:rsidR="009B47CA">
        <w:rPr>
          <w:lang w:val="en-AU"/>
        </w:rPr>
        <w:t xml:space="preserve">their interaction with </w:t>
      </w:r>
      <w:r w:rsidRPr="00970DF5">
        <w:rPr>
          <w:lang w:val="en-AU"/>
        </w:rPr>
        <w:t>the ACT Accelerator</w:t>
      </w:r>
      <w:r w:rsidR="007D06E6">
        <w:rPr>
          <w:lang w:val="en-AU"/>
        </w:rPr>
        <w:t xml:space="preserve"> Facilitation Council</w:t>
      </w:r>
      <w:r w:rsidRPr="00970DF5">
        <w:rPr>
          <w:lang w:val="en-AU"/>
        </w:rPr>
        <w:t xml:space="preserve">, and the </w:t>
      </w:r>
      <w:proofErr w:type="spellStart"/>
      <w:r w:rsidRPr="00970DF5">
        <w:rPr>
          <w:lang w:val="en-AU"/>
        </w:rPr>
        <w:t>Gavi</w:t>
      </w:r>
      <w:proofErr w:type="spellEnd"/>
      <w:r w:rsidRPr="00970DF5">
        <w:rPr>
          <w:lang w:val="en-AU"/>
        </w:rPr>
        <w:t>/CEPI/WHO Boards</w:t>
      </w:r>
      <w:r w:rsidR="004C293C">
        <w:rPr>
          <w:lang w:val="en-AU"/>
        </w:rPr>
        <w:t xml:space="preserve">; </w:t>
      </w:r>
      <w:r w:rsidR="009B47CA">
        <w:rPr>
          <w:lang w:val="en-AU"/>
        </w:rPr>
        <w:t xml:space="preserve">and </w:t>
      </w:r>
      <w:r w:rsidR="004C293C" w:rsidRPr="00970DF5">
        <w:rPr>
          <w:lang w:val="en-AU"/>
        </w:rPr>
        <w:t xml:space="preserve">clear </w:t>
      </w:r>
      <w:r w:rsidR="004C293C" w:rsidRPr="00BA73A0">
        <w:rPr>
          <w:b/>
          <w:lang w:val="en-AU"/>
        </w:rPr>
        <w:t>delineation of</w:t>
      </w:r>
      <w:r w:rsidR="009B47CA">
        <w:rPr>
          <w:b/>
          <w:lang w:val="en-AU"/>
        </w:rPr>
        <w:t xml:space="preserve"> the</w:t>
      </w:r>
      <w:r w:rsidR="004C293C" w:rsidRPr="00BA73A0">
        <w:rPr>
          <w:b/>
          <w:lang w:val="en-AU"/>
        </w:rPr>
        <w:t xml:space="preserve"> decision-making </w:t>
      </w:r>
      <w:r w:rsidR="009B47CA">
        <w:rPr>
          <w:b/>
          <w:lang w:val="en-AU"/>
        </w:rPr>
        <w:t>mandate</w:t>
      </w:r>
      <w:r w:rsidR="004C293C" w:rsidRPr="00970DF5">
        <w:rPr>
          <w:lang w:val="en-AU"/>
        </w:rPr>
        <w:t xml:space="preserve"> </w:t>
      </w:r>
      <w:r w:rsidR="009B47CA">
        <w:rPr>
          <w:lang w:val="en-AU"/>
        </w:rPr>
        <w:t>of</w:t>
      </w:r>
      <w:r w:rsidR="004C293C" w:rsidRPr="00970DF5">
        <w:rPr>
          <w:lang w:val="en-AU"/>
        </w:rPr>
        <w:t xml:space="preserve"> the </w:t>
      </w:r>
      <w:r w:rsidR="009B47CA">
        <w:rPr>
          <w:lang w:val="en-AU"/>
        </w:rPr>
        <w:t xml:space="preserve">Office of the </w:t>
      </w:r>
      <w:r w:rsidR="004C293C" w:rsidRPr="00970DF5">
        <w:rPr>
          <w:lang w:val="en-AU"/>
        </w:rPr>
        <w:t>COVAX Faci</w:t>
      </w:r>
      <w:r w:rsidR="002172BB">
        <w:rPr>
          <w:lang w:val="en-AU"/>
        </w:rPr>
        <w:t>lity</w:t>
      </w:r>
      <w:r w:rsidRPr="00970DF5">
        <w:rPr>
          <w:lang w:val="en-AU"/>
        </w:rPr>
        <w:t>.</w:t>
      </w:r>
    </w:p>
    <w:p w14:paraId="0EF7FB06" w14:textId="77777777" w:rsidR="00B532F0" w:rsidRPr="00B532F0" w:rsidRDefault="00B532F0" w:rsidP="00B532F0">
      <w:pPr>
        <w:spacing w:line="276" w:lineRule="auto"/>
        <w:jc w:val="both"/>
        <w:rPr>
          <w:lang w:val="en-AU"/>
        </w:rPr>
      </w:pPr>
    </w:p>
    <w:p w14:paraId="5A65D3F8" w14:textId="77777777" w:rsidR="00616D86" w:rsidRDefault="008715F4" w:rsidP="002172BB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Proposed s</w:t>
      </w:r>
      <w:r w:rsidR="00616D86">
        <w:rPr>
          <w:b/>
        </w:rPr>
        <w:t>tructure</w:t>
      </w:r>
    </w:p>
    <w:p w14:paraId="0F81B32E" w14:textId="77777777" w:rsidR="00616D86" w:rsidRPr="00EE2F90" w:rsidRDefault="00616D86" w:rsidP="002D5BF8">
      <w:pPr>
        <w:spacing w:line="276" w:lineRule="auto"/>
        <w:jc w:val="both"/>
      </w:pPr>
    </w:p>
    <w:p w14:paraId="7DC39644" w14:textId="77777777" w:rsidR="004F4871" w:rsidRPr="004F4871" w:rsidRDefault="004F4871" w:rsidP="004F4871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Please refer to </w:t>
      </w:r>
      <w:r w:rsidRPr="00107A6E">
        <w:rPr>
          <w:b/>
        </w:rPr>
        <w:t>Annex 1 for a diagram overview</w:t>
      </w:r>
      <w:r>
        <w:t xml:space="preserve"> of the discussion below on the COVAX Facility governance process</w:t>
      </w:r>
      <w:r w:rsidR="007525BA">
        <w:t xml:space="preserve">, and a table </w:t>
      </w:r>
      <w:r w:rsidR="007525BA" w:rsidRPr="007525BA">
        <w:rPr>
          <w:b/>
        </w:rPr>
        <w:t>overview of the breakdown of roles and responsibilities in</w:t>
      </w:r>
      <w:r w:rsidR="007525BA">
        <w:t xml:space="preserve"> </w:t>
      </w:r>
      <w:r w:rsidR="007525BA">
        <w:rPr>
          <w:b/>
        </w:rPr>
        <w:t>Annex 2</w:t>
      </w:r>
      <w:r>
        <w:t>.</w:t>
      </w:r>
      <w:r w:rsidR="00F126E7">
        <w:t xml:space="preserve"> The proposal builds on governance structures established in the Terms and Conditions and is informed by feedback received from members of the Friends of the COVAX Facility.</w:t>
      </w:r>
    </w:p>
    <w:p w14:paraId="5368B580" w14:textId="77777777" w:rsidR="004F4871" w:rsidRDefault="004F4871" w:rsidP="002D5BF8">
      <w:pPr>
        <w:spacing w:line="276" w:lineRule="auto"/>
        <w:jc w:val="both"/>
        <w:rPr>
          <w:b/>
        </w:rPr>
      </w:pPr>
    </w:p>
    <w:p w14:paraId="7307C0A5" w14:textId="77777777" w:rsidR="00C6409A" w:rsidRPr="00616D86" w:rsidRDefault="00E64B37" w:rsidP="002D5BF8">
      <w:pPr>
        <w:spacing w:line="276" w:lineRule="auto"/>
        <w:jc w:val="both"/>
        <w:rPr>
          <w:i/>
        </w:rPr>
      </w:pPr>
      <w:r w:rsidRPr="00616D86">
        <w:rPr>
          <w:i/>
        </w:rPr>
        <w:t>Delegation of authority</w:t>
      </w:r>
    </w:p>
    <w:p w14:paraId="0B766F48" w14:textId="77777777" w:rsidR="00E64B37" w:rsidRDefault="00E64B37" w:rsidP="002D5BF8">
      <w:pPr>
        <w:spacing w:line="276" w:lineRule="auto"/>
        <w:jc w:val="both"/>
      </w:pPr>
    </w:p>
    <w:p w14:paraId="5997E204" w14:textId="77777777" w:rsidR="004F4871" w:rsidRDefault="002172BB" w:rsidP="002172BB">
      <w:pPr>
        <w:pStyle w:val="ListParagraph"/>
        <w:numPr>
          <w:ilvl w:val="0"/>
          <w:numId w:val="15"/>
        </w:numPr>
        <w:spacing w:line="276" w:lineRule="auto"/>
        <w:jc w:val="both"/>
      </w:pPr>
      <w:r w:rsidRPr="002172BB">
        <w:t xml:space="preserve">The </w:t>
      </w:r>
      <w:proofErr w:type="spellStart"/>
      <w:r w:rsidRPr="002172BB">
        <w:rPr>
          <w:b/>
        </w:rPr>
        <w:t>Gavi</w:t>
      </w:r>
      <w:proofErr w:type="spellEnd"/>
      <w:r w:rsidRPr="002172BB">
        <w:rPr>
          <w:b/>
        </w:rPr>
        <w:t xml:space="preserve"> Board</w:t>
      </w:r>
      <w:r w:rsidRPr="002172BB">
        <w:t xml:space="preserve"> is responsible for strategic direction and policy-making, oversees the operations of </w:t>
      </w:r>
      <w:r w:rsidR="000A5E7B">
        <w:t xml:space="preserve">the </w:t>
      </w:r>
      <w:proofErr w:type="spellStart"/>
      <w:r w:rsidRPr="002172BB">
        <w:t>Gavi</w:t>
      </w:r>
      <w:proofErr w:type="spellEnd"/>
      <w:r w:rsidR="000A5E7B">
        <w:t xml:space="preserve"> Alliance</w:t>
      </w:r>
      <w:r w:rsidRPr="002172BB">
        <w:t xml:space="preserve"> and monitors programme implementation</w:t>
      </w:r>
      <w:r w:rsidR="00416A3D">
        <w:t xml:space="preserve"> and performance effectiveness</w:t>
      </w:r>
      <w:r w:rsidRPr="002172BB">
        <w:t xml:space="preserve">. </w:t>
      </w:r>
      <w:r w:rsidR="00925DE7" w:rsidRPr="00675FFC">
        <w:t xml:space="preserve">The </w:t>
      </w:r>
      <w:proofErr w:type="spellStart"/>
      <w:r w:rsidR="00925DE7" w:rsidRPr="002172BB">
        <w:t>Gavi</w:t>
      </w:r>
      <w:proofErr w:type="spellEnd"/>
      <w:r w:rsidR="00925DE7" w:rsidRPr="002172BB">
        <w:t xml:space="preserve"> Board</w:t>
      </w:r>
      <w:r w:rsidR="00925DE7" w:rsidRPr="00675FFC">
        <w:t xml:space="preserve"> </w:t>
      </w:r>
      <w:r w:rsidR="00925DE7">
        <w:t xml:space="preserve">has approved the </w:t>
      </w:r>
      <w:proofErr w:type="spellStart"/>
      <w:r w:rsidR="00925DE7" w:rsidRPr="005A10E4">
        <w:rPr>
          <w:b/>
        </w:rPr>
        <w:t>Gavi</w:t>
      </w:r>
      <w:proofErr w:type="spellEnd"/>
      <w:r w:rsidR="00925DE7" w:rsidRPr="005A10E4">
        <w:rPr>
          <w:b/>
        </w:rPr>
        <w:t xml:space="preserve"> Alliance</w:t>
      </w:r>
      <w:r w:rsidR="00925DE7">
        <w:t xml:space="preserve"> as</w:t>
      </w:r>
      <w:r w:rsidR="00925DE7" w:rsidRPr="000455A9">
        <w:t xml:space="preserve"> </w:t>
      </w:r>
      <w:r w:rsidR="00925DE7">
        <w:t xml:space="preserve">the legal entity to administer the COVAX Facility. Participating economies </w:t>
      </w:r>
      <w:r w:rsidR="005A10E4">
        <w:t>enter</w:t>
      </w:r>
      <w:r w:rsidR="00925DE7">
        <w:t xml:space="preserve"> into legal agreements with the </w:t>
      </w:r>
      <w:proofErr w:type="spellStart"/>
      <w:r w:rsidR="00925DE7">
        <w:t>Gavi</w:t>
      </w:r>
      <w:proofErr w:type="spellEnd"/>
      <w:r w:rsidR="00925DE7">
        <w:t xml:space="preserve"> Alliance. </w:t>
      </w:r>
      <w:r w:rsidR="00B61750" w:rsidRPr="00B61750">
        <w:rPr>
          <w:b/>
        </w:rPr>
        <w:t xml:space="preserve">Commitment </w:t>
      </w:r>
      <w:r w:rsidR="00B61750" w:rsidRPr="00B241A6">
        <w:rPr>
          <w:b/>
        </w:rPr>
        <w:t>Agreements between</w:t>
      </w:r>
      <w:r w:rsidR="00B61750">
        <w:t xml:space="preserve"> </w:t>
      </w:r>
      <w:r w:rsidR="00925DE7">
        <w:rPr>
          <w:b/>
        </w:rPr>
        <w:t>participating economies</w:t>
      </w:r>
      <w:r w:rsidR="00925DE7" w:rsidRPr="00B241A6">
        <w:rPr>
          <w:b/>
        </w:rPr>
        <w:t xml:space="preserve"> </w:t>
      </w:r>
      <w:r w:rsidR="00B61750" w:rsidRPr="00B241A6">
        <w:rPr>
          <w:b/>
        </w:rPr>
        <w:t xml:space="preserve">and the </w:t>
      </w:r>
      <w:proofErr w:type="spellStart"/>
      <w:r w:rsidR="00B61750" w:rsidRPr="00B241A6">
        <w:rPr>
          <w:b/>
        </w:rPr>
        <w:t>Gavi</w:t>
      </w:r>
      <w:proofErr w:type="spellEnd"/>
      <w:r w:rsidR="00B61750" w:rsidRPr="00B241A6">
        <w:rPr>
          <w:b/>
        </w:rPr>
        <w:t xml:space="preserve"> Alliance</w:t>
      </w:r>
      <w:r w:rsidR="00B61750">
        <w:t xml:space="preserve"> (as the legal entity) </w:t>
      </w:r>
      <w:r w:rsidR="00C52200">
        <w:t xml:space="preserve">collectively </w:t>
      </w:r>
      <w:r w:rsidR="00B61750">
        <w:t>establish the</w:t>
      </w:r>
      <w:r w:rsidR="00EE2F90">
        <w:t xml:space="preserve"> mandate of the COVAX Facility.</w:t>
      </w:r>
    </w:p>
    <w:p w14:paraId="32C68A85" w14:textId="77777777" w:rsidR="004F4871" w:rsidRDefault="004F4871" w:rsidP="004F4871">
      <w:pPr>
        <w:pStyle w:val="ListParagraph"/>
        <w:spacing w:line="276" w:lineRule="auto"/>
        <w:ind w:left="360"/>
        <w:jc w:val="both"/>
      </w:pPr>
    </w:p>
    <w:p w14:paraId="05BCECB5" w14:textId="77777777" w:rsidR="008E3558" w:rsidRDefault="00B61750" w:rsidP="0066070D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The </w:t>
      </w:r>
      <w:proofErr w:type="spellStart"/>
      <w:r>
        <w:t>Gavi</w:t>
      </w:r>
      <w:proofErr w:type="spellEnd"/>
      <w:r>
        <w:t xml:space="preserve"> Alliance therefore has the authority to </w:t>
      </w:r>
      <w:r w:rsidR="0066070D">
        <w:t xml:space="preserve">administer </w:t>
      </w:r>
      <w:r>
        <w:t xml:space="preserve">the COVAX Facility in line with </w:t>
      </w:r>
      <w:r w:rsidR="0066070D">
        <w:t xml:space="preserve">the </w:t>
      </w:r>
      <w:r>
        <w:t xml:space="preserve">legal obligations set out in the Commitment Agreements and </w:t>
      </w:r>
      <w:r w:rsidR="0066070D">
        <w:t xml:space="preserve">accompanying </w:t>
      </w:r>
      <w:r>
        <w:t>Terms and Conditions.</w:t>
      </w:r>
      <w:r w:rsidR="002144E8">
        <w:t xml:space="preserve"> </w:t>
      </w:r>
      <w:r w:rsidR="005A10E4">
        <w:t xml:space="preserve">The </w:t>
      </w:r>
      <w:proofErr w:type="spellStart"/>
      <w:r w:rsidR="005A10E4">
        <w:t>Gavi</w:t>
      </w:r>
      <w:proofErr w:type="spellEnd"/>
      <w:r w:rsidR="005A10E4">
        <w:t xml:space="preserve"> Alliance </w:t>
      </w:r>
      <w:r w:rsidR="005A10E4">
        <w:rPr>
          <w:b/>
        </w:rPr>
        <w:t>establishes</w:t>
      </w:r>
      <w:r w:rsidR="002A63B5">
        <w:rPr>
          <w:b/>
        </w:rPr>
        <w:t>,</w:t>
      </w:r>
      <w:r w:rsidR="0066070D">
        <w:t xml:space="preserve"> </w:t>
      </w:r>
      <w:r w:rsidR="0066070D" w:rsidRPr="0066070D">
        <w:rPr>
          <w:b/>
        </w:rPr>
        <w:t xml:space="preserve">and </w:t>
      </w:r>
      <w:r w:rsidR="005A10E4">
        <w:rPr>
          <w:b/>
        </w:rPr>
        <w:t>delegates</w:t>
      </w:r>
      <w:r w:rsidR="0066070D" w:rsidRPr="00845B2A">
        <w:rPr>
          <w:b/>
        </w:rPr>
        <w:t xml:space="preserve"> </w:t>
      </w:r>
      <w:r w:rsidR="008E3558">
        <w:rPr>
          <w:b/>
        </w:rPr>
        <w:t xml:space="preserve">operational </w:t>
      </w:r>
      <w:r w:rsidR="0066070D" w:rsidRPr="00845B2A">
        <w:rPr>
          <w:b/>
        </w:rPr>
        <w:t>decision-making</w:t>
      </w:r>
      <w:r w:rsidR="0066070D">
        <w:t xml:space="preserve"> relating to the COVAX Facility</w:t>
      </w:r>
      <w:r w:rsidR="002A63B5">
        <w:t>,</w:t>
      </w:r>
      <w:r w:rsidR="0066070D" w:rsidDel="0066070D">
        <w:t xml:space="preserve"> </w:t>
      </w:r>
      <w:r w:rsidR="0066070D">
        <w:t xml:space="preserve">to </w:t>
      </w:r>
      <w:r w:rsidR="00925DE7" w:rsidRPr="00845B2A">
        <w:t>the</w:t>
      </w:r>
      <w:r w:rsidR="00925DE7" w:rsidRPr="0066070D">
        <w:rPr>
          <w:b/>
        </w:rPr>
        <w:t xml:space="preserve"> Office of the COVAX Facility</w:t>
      </w:r>
      <w:r w:rsidR="00EF67D6" w:rsidRPr="0063585E">
        <w:t xml:space="preserve">, </w:t>
      </w:r>
      <w:r w:rsidR="00EF67D6">
        <w:t xml:space="preserve">being established </w:t>
      </w:r>
      <w:r w:rsidR="00EF67D6" w:rsidRPr="0063585E">
        <w:t xml:space="preserve">within the </w:t>
      </w:r>
      <w:proofErr w:type="spellStart"/>
      <w:r w:rsidR="00EF67D6" w:rsidRPr="0063585E">
        <w:t>Gavi</w:t>
      </w:r>
      <w:proofErr w:type="spellEnd"/>
      <w:r w:rsidR="00EF67D6" w:rsidRPr="0063585E">
        <w:t xml:space="preserve"> Secretariat</w:t>
      </w:r>
      <w:r w:rsidR="00EE2F90">
        <w:t>.</w:t>
      </w:r>
      <w:r w:rsidR="008E3558">
        <w:t xml:space="preserve"> </w:t>
      </w:r>
    </w:p>
    <w:p w14:paraId="3BD18DCE" w14:textId="77777777" w:rsidR="009E0A48" w:rsidRDefault="009E0A48" w:rsidP="009E0A48">
      <w:pPr>
        <w:pStyle w:val="ListParagraph"/>
      </w:pPr>
    </w:p>
    <w:p w14:paraId="7139FE8F" w14:textId="4D560EFA" w:rsidR="008E3558" w:rsidRDefault="009E0A48" w:rsidP="009E0A48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The </w:t>
      </w:r>
      <w:proofErr w:type="spellStart"/>
      <w:r>
        <w:t>Gavi</w:t>
      </w:r>
      <w:proofErr w:type="spellEnd"/>
      <w:r>
        <w:t xml:space="preserve"> Board could formally delegate </w:t>
      </w:r>
      <w:r w:rsidR="00EF67D6">
        <w:t xml:space="preserve">leadership for </w:t>
      </w:r>
      <w:r>
        <w:t xml:space="preserve">major operational and strategic decisions relating to the self-financing cohort within the COVAX Facility to the Shareholders Council (and Shareholders Executive Committee, as appropriate) (see paragraphs 11 and 12 below). </w:t>
      </w:r>
    </w:p>
    <w:p w14:paraId="58E7B546" w14:textId="77777777" w:rsidR="0055474D" w:rsidRPr="0055474D" w:rsidRDefault="0055474D" w:rsidP="0055474D">
      <w:pPr>
        <w:spacing w:line="276" w:lineRule="auto"/>
        <w:jc w:val="both"/>
      </w:pPr>
    </w:p>
    <w:p w14:paraId="4C222C0D" w14:textId="77777777" w:rsidR="004F4871" w:rsidRPr="0055474D" w:rsidRDefault="002144E8" w:rsidP="00B241A6">
      <w:pPr>
        <w:pStyle w:val="ListParagraph"/>
        <w:numPr>
          <w:ilvl w:val="0"/>
          <w:numId w:val="15"/>
        </w:numPr>
        <w:spacing w:line="276" w:lineRule="auto"/>
        <w:jc w:val="both"/>
      </w:pPr>
      <w:r w:rsidRPr="0055474D">
        <w:t xml:space="preserve">An independent </w:t>
      </w:r>
      <w:r w:rsidR="0046505A" w:rsidRPr="0055474D">
        <w:rPr>
          <w:b/>
        </w:rPr>
        <w:t>dispute resolution</w:t>
      </w:r>
      <w:r w:rsidRPr="0055474D">
        <w:rPr>
          <w:b/>
        </w:rPr>
        <w:t xml:space="preserve"> mechanism</w:t>
      </w:r>
      <w:r w:rsidRPr="0055474D">
        <w:t xml:space="preserve"> </w:t>
      </w:r>
      <w:r w:rsidR="0055474D" w:rsidRPr="0055474D">
        <w:t>is provided to resolve disputes</w:t>
      </w:r>
      <w:r w:rsidR="00925DE7">
        <w:t xml:space="preserve"> </w:t>
      </w:r>
      <w:r w:rsidR="0055474D" w:rsidRPr="0055474D">
        <w:t xml:space="preserve">arising from Commitment Agreements between participants and the </w:t>
      </w:r>
      <w:proofErr w:type="spellStart"/>
      <w:r w:rsidR="0055474D" w:rsidRPr="0055474D">
        <w:t>Gavi</w:t>
      </w:r>
      <w:proofErr w:type="spellEnd"/>
      <w:r w:rsidR="0055474D" w:rsidRPr="0055474D">
        <w:t xml:space="preserve"> Alliance</w:t>
      </w:r>
      <w:r w:rsidR="004F4871" w:rsidRPr="0055474D">
        <w:t>.</w:t>
      </w:r>
      <w:r w:rsidR="00EE2F90">
        <w:t xml:space="preserve"> </w:t>
      </w:r>
      <w:r w:rsidR="002F4D59">
        <w:t xml:space="preserve">Proposals for this should be developed by </w:t>
      </w:r>
      <w:proofErr w:type="spellStart"/>
      <w:r w:rsidR="002F4D59">
        <w:t>Gavi</w:t>
      </w:r>
      <w:proofErr w:type="spellEnd"/>
      <w:r w:rsidR="002F4D59">
        <w:t xml:space="preserve"> and CEPI, that accord with the legal arrangements within commitment agreements and the operat</w:t>
      </w:r>
      <w:r w:rsidR="00EE2F90">
        <w:t xml:space="preserve">ions of </w:t>
      </w:r>
      <w:proofErr w:type="spellStart"/>
      <w:r w:rsidR="00EE2F90">
        <w:t>Gavi</w:t>
      </w:r>
      <w:proofErr w:type="spellEnd"/>
      <w:r w:rsidR="00EE2F90">
        <w:t xml:space="preserve"> as a legal entity.</w:t>
      </w:r>
    </w:p>
    <w:p w14:paraId="5600BE98" w14:textId="77777777" w:rsidR="00E64B37" w:rsidRDefault="00E64B37" w:rsidP="00E64B37">
      <w:pPr>
        <w:pStyle w:val="ListParagraph"/>
        <w:spacing w:line="276" w:lineRule="auto"/>
        <w:ind w:left="360"/>
        <w:jc w:val="both"/>
      </w:pPr>
    </w:p>
    <w:p w14:paraId="759CBF2F" w14:textId="77777777" w:rsidR="00E64B37" w:rsidRPr="00616D86" w:rsidRDefault="00E64B37" w:rsidP="00E64B37">
      <w:pPr>
        <w:spacing w:line="276" w:lineRule="auto"/>
        <w:jc w:val="both"/>
        <w:rPr>
          <w:i/>
        </w:rPr>
      </w:pPr>
      <w:r w:rsidRPr="00616D86">
        <w:rPr>
          <w:i/>
        </w:rPr>
        <w:t>Implementation</w:t>
      </w:r>
    </w:p>
    <w:p w14:paraId="195F527B" w14:textId="77777777" w:rsidR="00463D2D" w:rsidRPr="00845B2A" w:rsidRDefault="00463D2D" w:rsidP="00845B2A"/>
    <w:p w14:paraId="78EBFB71" w14:textId="56D5679A" w:rsidR="00F2062C" w:rsidRPr="00B632EB" w:rsidRDefault="00204B47" w:rsidP="00B632EB">
      <w:pPr>
        <w:pStyle w:val="ListParagraph"/>
        <w:numPr>
          <w:ilvl w:val="0"/>
          <w:numId w:val="15"/>
        </w:numPr>
        <w:spacing w:line="276" w:lineRule="auto"/>
        <w:jc w:val="both"/>
      </w:pPr>
      <w:r w:rsidRPr="00701B3E">
        <w:rPr>
          <w:b/>
        </w:rPr>
        <w:t xml:space="preserve">The Office of the COVAX </w:t>
      </w:r>
      <w:r w:rsidR="00C52200">
        <w:rPr>
          <w:b/>
        </w:rPr>
        <w:t xml:space="preserve">Facility </w:t>
      </w:r>
      <w:r w:rsidRPr="00701B3E">
        <w:rPr>
          <w:b/>
        </w:rPr>
        <w:t>is responsible for making operational decisions</w:t>
      </w:r>
      <w:r w:rsidR="00DB74A3">
        <w:t xml:space="preserve"> already mandated by</w:t>
      </w:r>
      <w:r>
        <w:t xml:space="preserve"> the Commitment Agreements. These decisions are informed by </w:t>
      </w:r>
      <w:r w:rsidRPr="00701B3E">
        <w:rPr>
          <w:b/>
        </w:rPr>
        <w:t>technical advisory bodies</w:t>
      </w:r>
      <w:r>
        <w:t>, which in turn draw on e</w:t>
      </w:r>
      <w:r w:rsidR="00B84936">
        <w:t>stablished</w:t>
      </w:r>
      <w:r>
        <w:t xml:space="preserve"> </w:t>
      </w:r>
      <w:r w:rsidR="001A47BA">
        <w:t>expertise</w:t>
      </w:r>
      <w:r>
        <w:t xml:space="preserve"> </w:t>
      </w:r>
      <w:r w:rsidR="00B84936">
        <w:t>from</w:t>
      </w:r>
      <w:r>
        <w:t xml:space="preserve"> the WHO, CEPI, </w:t>
      </w:r>
      <w:proofErr w:type="spellStart"/>
      <w:r>
        <w:t>Gavi</w:t>
      </w:r>
      <w:proofErr w:type="spellEnd"/>
      <w:r>
        <w:t xml:space="preserve">, UNICEF and others. </w:t>
      </w:r>
      <w:r w:rsidR="006812B6">
        <w:t xml:space="preserve">Some of these bodies are already established as a part of the </w:t>
      </w:r>
      <w:proofErr w:type="spellStart"/>
      <w:r w:rsidR="006812B6">
        <w:t>Gavi</w:t>
      </w:r>
      <w:proofErr w:type="spellEnd"/>
      <w:r w:rsidR="006812B6">
        <w:t xml:space="preserve"> Alliance (namely, the </w:t>
      </w:r>
      <w:r w:rsidR="006812B6" w:rsidRPr="005A10E4">
        <w:rPr>
          <w:b/>
        </w:rPr>
        <w:t>Market Sensitive Decision Committee</w:t>
      </w:r>
      <w:r w:rsidR="006812B6">
        <w:t xml:space="preserve"> and the </w:t>
      </w:r>
      <w:r w:rsidR="006812B6" w:rsidRPr="005A10E4">
        <w:rPr>
          <w:b/>
        </w:rPr>
        <w:t>Audit</w:t>
      </w:r>
      <w:r w:rsidR="00DC75B6" w:rsidRPr="005A10E4">
        <w:rPr>
          <w:b/>
        </w:rPr>
        <w:t xml:space="preserve"> and </w:t>
      </w:r>
      <w:r w:rsidR="006812B6" w:rsidRPr="005A10E4">
        <w:rPr>
          <w:b/>
        </w:rPr>
        <w:t xml:space="preserve">Finance </w:t>
      </w:r>
      <w:r w:rsidR="006812B6" w:rsidRPr="005A10E4">
        <w:rPr>
          <w:b/>
        </w:rPr>
        <w:lastRenderedPageBreak/>
        <w:t>Committee</w:t>
      </w:r>
      <w:r w:rsidR="006812B6">
        <w:t>) while other</w:t>
      </w:r>
      <w:r w:rsidR="00DC75B6">
        <w:t xml:space="preserve"> technical advisory bodie</w:t>
      </w:r>
      <w:r w:rsidR="006812B6">
        <w:t xml:space="preserve">s will be convened by the Office of the COVAX Facility </w:t>
      </w:r>
      <w:r w:rsidR="002A63B5">
        <w:t>independently</w:t>
      </w:r>
      <w:r w:rsidR="006812B6">
        <w:t xml:space="preserve"> (namely the Independent Product Group and the Product Reference Group) or in conjunction with the WHO (the Joint Allocation Taskforce). </w:t>
      </w:r>
      <w:r w:rsidR="00191873">
        <w:t xml:space="preserve">The Office of the COVAX </w:t>
      </w:r>
      <w:r w:rsidR="006812B6">
        <w:t>Facility</w:t>
      </w:r>
      <w:r w:rsidR="009F22DA">
        <w:t xml:space="preserve"> </w:t>
      </w:r>
      <w:r w:rsidR="00191873">
        <w:t>operate</w:t>
      </w:r>
      <w:r w:rsidR="00732D05">
        <w:t>s</w:t>
      </w:r>
      <w:r w:rsidR="00191873">
        <w:t xml:space="preserve"> within the legal and institutional framework of </w:t>
      </w:r>
      <w:r w:rsidR="00DC75B6">
        <w:t xml:space="preserve">the </w:t>
      </w:r>
      <w:proofErr w:type="spellStart"/>
      <w:r w:rsidR="00191873">
        <w:t>Gavi</w:t>
      </w:r>
      <w:proofErr w:type="spellEnd"/>
      <w:r w:rsidR="00DC75B6">
        <w:t xml:space="preserve"> Alliance</w:t>
      </w:r>
      <w:r w:rsidR="00191873">
        <w:t xml:space="preserve"> (including </w:t>
      </w:r>
      <w:r w:rsidR="001E638F">
        <w:t xml:space="preserve">utilising existing systems/frameworks for </w:t>
      </w:r>
      <w:r w:rsidR="00191873">
        <w:t>HR, work heal</w:t>
      </w:r>
      <w:r w:rsidR="001E638F">
        <w:t>th and safety, and fraud)</w:t>
      </w:r>
      <w:r w:rsidR="006812B6">
        <w:t>.</w:t>
      </w:r>
    </w:p>
    <w:p w14:paraId="101A1830" w14:textId="77777777" w:rsidR="00F126E7" w:rsidRDefault="00F126E7" w:rsidP="001E2F2E"/>
    <w:p w14:paraId="77EEDCFF" w14:textId="7217E27C" w:rsidR="00BF07F4" w:rsidRDefault="00F126E7" w:rsidP="00FF6D61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The </w:t>
      </w:r>
      <w:r w:rsidRPr="000D7BDD">
        <w:rPr>
          <w:b/>
        </w:rPr>
        <w:t>Shareholders Council</w:t>
      </w:r>
      <w:r>
        <w:t xml:space="preserve">, comprising a single representative of each self-financing economy, meets quarterly </w:t>
      </w:r>
      <w:r w:rsidR="006812B6">
        <w:t>[</w:t>
      </w:r>
      <w:r w:rsidRPr="00F2062C">
        <w:rPr>
          <w:i/>
        </w:rPr>
        <w:t xml:space="preserve">or </w:t>
      </w:r>
      <w:r w:rsidR="0014778E" w:rsidRPr="00F2062C">
        <w:rPr>
          <w:i/>
        </w:rPr>
        <w:t xml:space="preserve">at least </w:t>
      </w:r>
      <w:r w:rsidRPr="00F2062C">
        <w:rPr>
          <w:i/>
        </w:rPr>
        <w:t>twice yearly</w:t>
      </w:r>
      <w:r w:rsidR="006812B6">
        <w:t>]</w:t>
      </w:r>
      <w:r>
        <w:t xml:space="preserve"> to </w:t>
      </w:r>
      <w:r w:rsidR="000D7BDD">
        <w:t xml:space="preserve">provide </w:t>
      </w:r>
      <w:r w:rsidR="000D7BDD" w:rsidRPr="000D7BDD">
        <w:rPr>
          <w:b/>
        </w:rPr>
        <w:t>strategic oversight and accountability</w:t>
      </w:r>
      <w:r w:rsidR="000D7BDD">
        <w:t xml:space="preserve"> of the Office of the COVAX Facility’s implementation of Commitment Agreements with self-financing </w:t>
      </w:r>
      <w:r w:rsidR="0014778E">
        <w:t>economies</w:t>
      </w:r>
      <w:r w:rsidR="003809E4">
        <w:t xml:space="preserve">, and to </w:t>
      </w:r>
      <w:r w:rsidR="004D3A18">
        <w:t>lead policy and</w:t>
      </w:r>
      <w:r w:rsidR="003809E4">
        <w:t xml:space="preserve"> strategic decisions related to the COVAX Facility</w:t>
      </w:r>
      <w:r w:rsidR="000D7BDD">
        <w:t xml:space="preserve">. </w:t>
      </w:r>
      <w:r w:rsidR="001E638F">
        <w:t xml:space="preserve">In the spirit of collaboration, the Council could also consider inviting </w:t>
      </w:r>
      <w:r w:rsidR="00DC75B6">
        <w:t xml:space="preserve">a representative of </w:t>
      </w:r>
      <w:r w:rsidR="001E638F">
        <w:t xml:space="preserve">the </w:t>
      </w:r>
      <w:r w:rsidR="00ED371D">
        <w:t xml:space="preserve">AMC Stakeholders Group, </w:t>
      </w:r>
      <w:r w:rsidR="001E638F">
        <w:t>World Bank, UNICEF, WHO, CSOs and the Bill and Melinda Gates Foundation as participants</w:t>
      </w:r>
      <w:r w:rsidR="002F4D59">
        <w:t xml:space="preserve"> or observers</w:t>
      </w:r>
      <w:r w:rsidR="00685531">
        <w:t>, subject to agreement by Shareholders Council members</w:t>
      </w:r>
      <w:r w:rsidR="001E638F">
        <w:t>.</w:t>
      </w:r>
    </w:p>
    <w:p w14:paraId="60943048" w14:textId="77777777" w:rsidR="00BF07F4" w:rsidRDefault="00BF07F4" w:rsidP="00FF6D61">
      <w:pPr>
        <w:pStyle w:val="ListParagraph"/>
      </w:pPr>
    </w:p>
    <w:p w14:paraId="692F2F18" w14:textId="1C4FFC5D" w:rsidR="00BF07F4" w:rsidRDefault="000D7BDD" w:rsidP="00405D81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The Shareholders Council elects an </w:t>
      </w:r>
      <w:r w:rsidRPr="003B1B7D">
        <w:rPr>
          <w:b/>
        </w:rPr>
        <w:t>Executive Committee</w:t>
      </w:r>
      <w:r>
        <w:t xml:space="preserve">, which meets </w:t>
      </w:r>
      <w:proofErr w:type="spellStart"/>
      <w:r>
        <w:t>intercessionally</w:t>
      </w:r>
      <w:proofErr w:type="spellEnd"/>
      <w:r>
        <w:t xml:space="preserve"> </w:t>
      </w:r>
      <w:r w:rsidR="0014778E">
        <w:t xml:space="preserve">(as often as required) </w:t>
      </w:r>
      <w:r>
        <w:t xml:space="preserve">to provide </w:t>
      </w:r>
      <w:r w:rsidRPr="003B1B7D">
        <w:rPr>
          <w:b/>
        </w:rPr>
        <w:t>oversight</w:t>
      </w:r>
      <w:r w:rsidR="000E6687" w:rsidRPr="003B1B7D">
        <w:rPr>
          <w:b/>
        </w:rPr>
        <w:t xml:space="preserve"> and strategic guidance</w:t>
      </w:r>
      <w:r w:rsidRPr="003B1B7D">
        <w:rPr>
          <w:b/>
        </w:rPr>
        <w:t>, on behalf of the Shareholders, of</w:t>
      </w:r>
      <w:r w:rsidR="00B30CE0" w:rsidRPr="003B1B7D">
        <w:rPr>
          <w:b/>
        </w:rPr>
        <w:t xml:space="preserve"> operational</w:t>
      </w:r>
      <w:r w:rsidRPr="003B1B7D">
        <w:rPr>
          <w:b/>
        </w:rPr>
        <w:t xml:space="preserve"> decisions </w:t>
      </w:r>
      <w:r>
        <w:t>made by</w:t>
      </w:r>
      <w:r w:rsidR="0014778E">
        <w:t xml:space="preserve"> the</w:t>
      </w:r>
      <w:r>
        <w:t xml:space="preserve"> Office o</w:t>
      </w:r>
      <w:r w:rsidR="00EE2F90">
        <w:t>f the COVAX Facility.</w:t>
      </w:r>
      <w:r w:rsidR="0050576D">
        <w:t xml:space="preserve"> </w:t>
      </w:r>
      <w:r w:rsidR="00685531">
        <w:t>The Shareholders</w:t>
      </w:r>
      <w:r w:rsidR="008831BC">
        <w:t xml:space="preserve"> Executive</w:t>
      </w:r>
      <w:r w:rsidR="00685531">
        <w:t xml:space="preserve"> Committee</w:t>
      </w:r>
      <w:r w:rsidR="008831BC">
        <w:t xml:space="preserve"> would provide recommendations to the Shareholders Council on major operational or strategic decisions for endorsement/approval as appropriate.</w:t>
      </w:r>
      <w:r w:rsidR="00405D81">
        <w:t xml:space="preserve"> </w:t>
      </w:r>
    </w:p>
    <w:p w14:paraId="3627A448" w14:textId="46E762A3" w:rsidR="004B6725" w:rsidRDefault="004B6725" w:rsidP="00C91978">
      <w:pPr>
        <w:spacing w:line="276" w:lineRule="auto"/>
        <w:jc w:val="both"/>
      </w:pPr>
    </w:p>
    <w:p w14:paraId="29D63680" w14:textId="77777777" w:rsidR="004B6725" w:rsidRDefault="00B30CE0" w:rsidP="00E64B37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In parallel, the </w:t>
      </w:r>
      <w:r w:rsidRPr="00A3193E">
        <w:rPr>
          <w:b/>
        </w:rPr>
        <w:t>AMC Stakeholders Group</w:t>
      </w:r>
      <w:r w:rsidR="00A3193E" w:rsidDel="00463D2D">
        <w:t xml:space="preserve"> and the </w:t>
      </w:r>
      <w:proofErr w:type="spellStart"/>
      <w:r w:rsidR="00A3193E" w:rsidDel="00463D2D">
        <w:t>Gavi</w:t>
      </w:r>
      <w:proofErr w:type="spellEnd"/>
      <w:r w:rsidR="00A3193E" w:rsidDel="00463D2D">
        <w:t xml:space="preserve"> </w:t>
      </w:r>
      <w:r w:rsidR="007B0D49" w:rsidRPr="0055474D" w:rsidDel="00463D2D">
        <w:t>Board</w:t>
      </w:r>
      <w:r w:rsidR="00F2062C">
        <w:t xml:space="preserve"> </w:t>
      </w:r>
      <w:r w:rsidR="006812B6">
        <w:t xml:space="preserve">provide </w:t>
      </w:r>
      <w:r w:rsidR="00A3193E" w:rsidRPr="0055474D">
        <w:t xml:space="preserve">strategic and operational oversight of </w:t>
      </w:r>
      <w:r w:rsidR="0014778E">
        <w:t xml:space="preserve">the </w:t>
      </w:r>
      <w:r w:rsidR="00A3193E" w:rsidRPr="0055474D">
        <w:t>work of the Office of the COVAX Facility that relates to AMC funding</w:t>
      </w:r>
      <w:r w:rsidR="001E638F">
        <w:t>, performance</w:t>
      </w:r>
      <w:r w:rsidR="00A3193E" w:rsidRPr="0055474D">
        <w:t xml:space="preserve"> and</w:t>
      </w:r>
      <w:r w:rsidR="00A3193E">
        <w:t xml:space="preserve"> allocation</w:t>
      </w:r>
      <w:r w:rsidR="002F4D59">
        <w:t xml:space="preserve">, alongside </w:t>
      </w:r>
      <w:proofErr w:type="spellStart"/>
      <w:r w:rsidR="002F4D59">
        <w:t>Gavi’s</w:t>
      </w:r>
      <w:proofErr w:type="spellEnd"/>
      <w:r w:rsidR="002F4D59">
        <w:t xml:space="preserve"> ex</w:t>
      </w:r>
      <w:r w:rsidR="00EE2F90">
        <w:t>isting operations.</w:t>
      </w:r>
    </w:p>
    <w:p w14:paraId="19F585E6" w14:textId="77777777" w:rsidR="00944327" w:rsidRDefault="00944327" w:rsidP="00944327">
      <w:pPr>
        <w:pStyle w:val="ListParagraph"/>
      </w:pPr>
    </w:p>
    <w:p w14:paraId="35095E13" w14:textId="3079F1B0" w:rsidR="00F440C4" w:rsidRDefault="004B6725" w:rsidP="00F440C4">
      <w:pPr>
        <w:pStyle w:val="ListParagraph"/>
        <w:numPr>
          <w:ilvl w:val="0"/>
          <w:numId w:val="15"/>
        </w:numPr>
        <w:spacing w:line="276" w:lineRule="auto"/>
        <w:jc w:val="both"/>
      </w:pPr>
      <w:r>
        <w:t>As part of the</w:t>
      </w:r>
      <w:r w:rsidR="008715F4">
        <w:t>ir</w:t>
      </w:r>
      <w:r>
        <w:t xml:space="preserve"> </w:t>
      </w:r>
      <w:r w:rsidRPr="004B6725">
        <w:rPr>
          <w:b/>
        </w:rPr>
        <w:t>accountability</w:t>
      </w:r>
      <w:r>
        <w:t xml:space="preserve"> function, the Shareholders Council and the AMC Stakeholders Group receive independent audit reports on the work of the Office of the COVAX Facility.</w:t>
      </w:r>
      <w:r w:rsidR="00332E1B">
        <w:t xml:space="preserve"> </w:t>
      </w:r>
      <w:r w:rsidR="00463D2D">
        <w:t xml:space="preserve">This would be supported by </w:t>
      </w:r>
      <w:r w:rsidR="000A5E7B">
        <w:t xml:space="preserve">the </w:t>
      </w:r>
      <w:proofErr w:type="spellStart"/>
      <w:r w:rsidR="00463D2D">
        <w:t>Gavi</w:t>
      </w:r>
      <w:proofErr w:type="spellEnd"/>
      <w:r w:rsidR="000A5E7B">
        <w:t xml:space="preserve"> Alliance</w:t>
      </w:r>
      <w:r w:rsidR="00463D2D">
        <w:t xml:space="preserve">’s </w:t>
      </w:r>
      <w:r w:rsidR="00463D2D" w:rsidRPr="00A72674">
        <w:rPr>
          <w:b/>
        </w:rPr>
        <w:t>Audit and Finance Committee</w:t>
      </w:r>
      <w:r w:rsidR="00732D05">
        <w:t>, and may be assisted by the Evaluation Advisory Committee</w:t>
      </w:r>
      <w:r w:rsidR="00426BED">
        <w:t xml:space="preserve"> upon request</w:t>
      </w:r>
      <w:r w:rsidR="00463D2D">
        <w:t>.</w:t>
      </w:r>
      <w:r w:rsidR="00A72674">
        <w:t xml:space="preserve"> </w:t>
      </w:r>
      <w:r w:rsidR="00A72674" w:rsidRPr="00C078B1">
        <w:rPr>
          <w:b/>
        </w:rPr>
        <w:t>Del</w:t>
      </w:r>
      <w:r w:rsidR="00B632EB" w:rsidRPr="00C078B1">
        <w:rPr>
          <w:b/>
        </w:rPr>
        <w:t>oitte is the</w:t>
      </w:r>
      <w:r w:rsidR="00A72674" w:rsidRPr="00C078B1">
        <w:rPr>
          <w:b/>
        </w:rPr>
        <w:t xml:space="preserve"> </w:t>
      </w:r>
      <w:r w:rsidR="00BF07F4">
        <w:rPr>
          <w:b/>
        </w:rPr>
        <w:t xml:space="preserve">current </w:t>
      </w:r>
      <w:r w:rsidR="00A72674" w:rsidRPr="00C078B1">
        <w:rPr>
          <w:b/>
        </w:rPr>
        <w:t>indepe</w:t>
      </w:r>
      <w:r w:rsidR="000A5E7B" w:rsidRPr="00C078B1">
        <w:rPr>
          <w:b/>
        </w:rPr>
        <w:t>n</w:t>
      </w:r>
      <w:r w:rsidR="00A72674" w:rsidRPr="00C078B1">
        <w:rPr>
          <w:b/>
        </w:rPr>
        <w:t xml:space="preserve">dent audit </w:t>
      </w:r>
      <w:r w:rsidR="00B632EB" w:rsidRPr="00C078B1">
        <w:rPr>
          <w:b/>
        </w:rPr>
        <w:t>provider</w:t>
      </w:r>
      <w:r w:rsidR="00A72674">
        <w:t>.</w:t>
      </w:r>
      <w:r w:rsidR="0010226B">
        <w:t xml:space="preserve"> </w:t>
      </w:r>
      <w:r w:rsidR="00F440C4">
        <w:t>To facilitate full transparency, the Chair/s of the Shareholders Council and Executive Committee could</w:t>
      </w:r>
      <w:r w:rsidR="00F440C4" w:rsidRPr="00F440C4">
        <w:t xml:space="preserve"> </w:t>
      </w:r>
      <w:r w:rsidR="00F440C4">
        <w:t>observe the Audit and Finance Committee</w:t>
      </w:r>
      <w:r w:rsidR="00F440C4" w:rsidRPr="00F440C4">
        <w:t xml:space="preserve"> for discussions</w:t>
      </w:r>
      <w:r w:rsidR="00F440C4">
        <w:t xml:space="preserve"> related to the COVAX Facility. The Shareholders Council may consider inviting the Audit and Finance Committee</w:t>
      </w:r>
      <w:r w:rsidR="00F440C4" w:rsidRPr="00F440C4">
        <w:t xml:space="preserve"> Chair to attend the Shar</w:t>
      </w:r>
      <w:r w:rsidR="00F440C4">
        <w:t>eholders Council and Executive C</w:t>
      </w:r>
      <w:r w:rsidR="00F440C4" w:rsidRPr="00F440C4">
        <w:t>ommittee</w:t>
      </w:r>
      <w:r w:rsidR="00F440C4">
        <w:t xml:space="preserve">. </w:t>
      </w:r>
    </w:p>
    <w:p w14:paraId="751A04AB" w14:textId="77777777" w:rsidR="00F440C4" w:rsidRDefault="00F440C4" w:rsidP="00F440C4">
      <w:pPr>
        <w:pStyle w:val="ListParagraph"/>
      </w:pPr>
    </w:p>
    <w:p w14:paraId="5C524786" w14:textId="3C2CF4D2" w:rsidR="003B1B7D" w:rsidRDefault="0010226B" w:rsidP="00860652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The Shareholders Council and AMC Stakeholders Group will report on their assessment of the performance of the COVAX Facility to the </w:t>
      </w:r>
      <w:proofErr w:type="spellStart"/>
      <w:r>
        <w:t>Gavi</w:t>
      </w:r>
      <w:proofErr w:type="spellEnd"/>
      <w:r>
        <w:t xml:space="preserve"> Board (as the legal implanting entity). </w:t>
      </w:r>
      <w:r w:rsidR="00F440C4" w:rsidRPr="00F440C4">
        <w:t xml:space="preserve">The </w:t>
      </w:r>
      <w:proofErr w:type="spellStart"/>
      <w:r w:rsidR="00F440C4" w:rsidRPr="00F440C4">
        <w:t>Gavi</w:t>
      </w:r>
      <w:proofErr w:type="spellEnd"/>
      <w:r w:rsidR="00F440C4" w:rsidRPr="00F440C4">
        <w:t xml:space="preserve"> Board and the Shareholders </w:t>
      </w:r>
      <w:proofErr w:type="gramStart"/>
      <w:r w:rsidR="00F440C4" w:rsidRPr="00F440C4">
        <w:t>Council  will</w:t>
      </w:r>
      <w:proofErr w:type="gramEnd"/>
      <w:r w:rsidR="00F440C4" w:rsidRPr="00F440C4">
        <w:t xml:space="preserve"> consider </w:t>
      </w:r>
      <w:r w:rsidR="00F440C4" w:rsidRPr="00405D81">
        <w:rPr>
          <w:b/>
        </w:rPr>
        <w:t>opportunities to improve the operations and governance of the COVAX Facility</w:t>
      </w:r>
      <w:r w:rsidR="00F440C4" w:rsidRPr="00F440C4">
        <w:t xml:space="preserve"> in order to ensure participating economies are able to exercise appropriate governance oversight and the operations of the COVAX Facility do not interfere with </w:t>
      </w:r>
      <w:proofErr w:type="spellStart"/>
      <w:r w:rsidR="00F440C4" w:rsidRPr="00F440C4">
        <w:t>Gavi’s</w:t>
      </w:r>
      <w:proofErr w:type="spellEnd"/>
      <w:r w:rsidR="00F440C4" w:rsidRPr="00F440C4">
        <w:t xml:space="preserve"> core mandate</w:t>
      </w:r>
      <w:r w:rsidR="00F440C4">
        <w:t>.</w:t>
      </w:r>
      <w:r w:rsidR="00F440C4">
        <w:t xml:space="preserve"> </w:t>
      </w:r>
    </w:p>
    <w:p w14:paraId="23B8F66E" w14:textId="4A76EA8B" w:rsidR="00405D81" w:rsidRDefault="00405D81" w:rsidP="00405D81">
      <w:pPr>
        <w:spacing w:line="276" w:lineRule="auto"/>
        <w:jc w:val="both"/>
      </w:pPr>
    </w:p>
    <w:p w14:paraId="5B8ECB80" w14:textId="5AD41AB1" w:rsidR="003B1B7D" w:rsidRDefault="001E2F2E" w:rsidP="003B1B7D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Where </w:t>
      </w:r>
      <w:r w:rsidRPr="003B1B7D">
        <w:rPr>
          <w:b/>
        </w:rPr>
        <w:t>new and/or strategic decisions</w:t>
      </w:r>
      <w:r>
        <w:t xml:space="preserve"> are required</w:t>
      </w:r>
      <w:r w:rsidR="001B1F91">
        <w:t xml:space="preserve"> in respect of self-financing economies</w:t>
      </w:r>
      <w:r>
        <w:t>, the Office of the COVAX Facility receives guidance from the Shareholders Cou</w:t>
      </w:r>
      <w:r w:rsidR="007B0D49">
        <w:t>ncil (</w:t>
      </w:r>
      <w:r w:rsidR="006812B6">
        <w:t xml:space="preserve">including </w:t>
      </w:r>
      <w:r w:rsidR="001B1F91">
        <w:t>as facilitated by the</w:t>
      </w:r>
      <w:r w:rsidR="007B0D49">
        <w:t xml:space="preserve"> Executive Committee)</w:t>
      </w:r>
      <w:r>
        <w:t xml:space="preserve">. </w:t>
      </w:r>
      <w:r w:rsidR="00463D2D">
        <w:t>Issues could include (but are not limited to) the function of COVAX E</w:t>
      </w:r>
      <w:r w:rsidR="00F2062C">
        <w:t>x</w:t>
      </w:r>
      <w:r w:rsidR="00463D2D">
        <w:t>change</w:t>
      </w:r>
      <w:r w:rsidR="002F4D59">
        <w:t>, allocatio</w:t>
      </w:r>
      <w:r w:rsidR="00EE2F90">
        <w:t xml:space="preserve">n of doses above 20%, </w:t>
      </w:r>
      <w:r w:rsidR="00463D2D">
        <w:t>and longer term operations of the Facility.</w:t>
      </w:r>
      <w:r w:rsidR="00405D81">
        <w:t xml:space="preserve"> </w:t>
      </w:r>
      <w:r w:rsidR="00405D81">
        <w:t xml:space="preserve">The Chair/s of the Shareholders Council and the Executive Committee will be invited to attend the </w:t>
      </w:r>
      <w:proofErr w:type="spellStart"/>
      <w:r w:rsidR="00405D81">
        <w:t>Gavi</w:t>
      </w:r>
      <w:proofErr w:type="spellEnd"/>
      <w:r w:rsidR="00405D81">
        <w:t xml:space="preserve"> Board and, i</w:t>
      </w:r>
      <w:r w:rsidR="00405D81" w:rsidRPr="002B590A">
        <w:t>n the spirit of effective cooperation</w:t>
      </w:r>
      <w:r w:rsidR="00405D81">
        <w:t>,</w:t>
      </w:r>
      <w:r w:rsidR="00405D81" w:rsidRPr="002B590A">
        <w:t xml:space="preserve"> the Chair of the </w:t>
      </w:r>
      <w:proofErr w:type="spellStart"/>
      <w:r w:rsidR="00405D81" w:rsidRPr="002B590A">
        <w:t>Gavi</w:t>
      </w:r>
      <w:proofErr w:type="spellEnd"/>
      <w:r w:rsidR="00405D81" w:rsidRPr="002B590A">
        <w:t xml:space="preserve"> Board will be invited to attend the Shareholders </w:t>
      </w:r>
      <w:r w:rsidR="00405D81">
        <w:t>Council and Executive Committee.</w:t>
      </w:r>
    </w:p>
    <w:p w14:paraId="1021D5F4" w14:textId="77777777" w:rsidR="003B1B7D" w:rsidRPr="003B1B7D" w:rsidRDefault="003B1B7D" w:rsidP="003B1B7D">
      <w:pPr>
        <w:pStyle w:val="ListParagraph"/>
        <w:rPr>
          <w:lang w:val="en-AU"/>
        </w:rPr>
      </w:pPr>
    </w:p>
    <w:p w14:paraId="6E682FD6" w14:textId="77777777" w:rsidR="00B632EB" w:rsidRDefault="00B632EB" w:rsidP="00B632EB">
      <w:pPr>
        <w:pStyle w:val="ListParagraph"/>
        <w:numPr>
          <w:ilvl w:val="0"/>
          <w:numId w:val="15"/>
        </w:numPr>
        <w:spacing w:line="276" w:lineRule="auto"/>
        <w:jc w:val="both"/>
      </w:pPr>
      <w:r w:rsidRPr="000A5E7B">
        <w:t xml:space="preserve">The </w:t>
      </w:r>
      <w:proofErr w:type="spellStart"/>
      <w:r w:rsidR="000A5E7B">
        <w:t>Gavi</w:t>
      </w:r>
      <w:proofErr w:type="spellEnd"/>
      <w:r w:rsidR="000A5E7B">
        <w:t xml:space="preserve"> Board also delegates some decision-making powers to the </w:t>
      </w:r>
      <w:r w:rsidRPr="000A5E7B">
        <w:rPr>
          <w:b/>
        </w:rPr>
        <w:t>Market Sensitive Decisions Committee</w:t>
      </w:r>
      <w:r w:rsidRPr="000A5E7B">
        <w:t xml:space="preserve"> to review and approve the business terms of proposed agreements with manufacturers. Three </w:t>
      </w:r>
      <w:r w:rsidR="000A5E7B">
        <w:t xml:space="preserve">additional </w:t>
      </w:r>
      <w:r w:rsidRPr="000A5E7B">
        <w:t xml:space="preserve">members </w:t>
      </w:r>
      <w:r w:rsidR="000A5E7B">
        <w:t>are elected by</w:t>
      </w:r>
      <w:r w:rsidRPr="000A5E7B">
        <w:t xml:space="preserve"> the Shareholders Council to provide </w:t>
      </w:r>
      <w:r w:rsidR="00274109">
        <w:lastRenderedPageBreak/>
        <w:t xml:space="preserve">for input by representatives of self-financing economies </w:t>
      </w:r>
      <w:r w:rsidRPr="000A5E7B">
        <w:t xml:space="preserve">into the review of </w:t>
      </w:r>
      <w:r w:rsidR="00274109">
        <w:t xml:space="preserve">COVAX related </w:t>
      </w:r>
      <w:r w:rsidRPr="000A5E7B">
        <w:t>contracts with manufacturers.</w:t>
      </w:r>
    </w:p>
    <w:p w14:paraId="2E001AAE" w14:textId="77777777" w:rsidR="003809E4" w:rsidRDefault="003809E4" w:rsidP="003809E4">
      <w:pPr>
        <w:spacing w:line="276" w:lineRule="auto"/>
        <w:jc w:val="both"/>
      </w:pPr>
    </w:p>
    <w:p w14:paraId="561D4D9A" w14:textId="543DFD17" w:rsidR="00C6409A" w:rsidRDefault="00F440C4" w:rsidP="00F440C4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The </w:t>
      </w:r>
      <w:r w:rsidRPr="00F440C4">
        <w:rPr>
          <w:b/>
        </w:rPr>
        <w:t>nominations and elections process</w:t>
      </w:r>
      <w:r>
        <w:t xml:space="preserve"> for </w:t>
      </w:r>
      <w:r w:rsidRPr="00F440C4">
        <w:t xml:space="preserve">the Executive Committee and </w:t>
      </w:r>
      <w:r>
        <w:t xml:space="preserve">Shareholders Council representatives on the </w:t>
      </w:r>
      <w:r w:rsidRPr="00F440C4">
        <w:t>M</w:t>
      </w:r>
      <w:r>
        <w:t xml:space="preserve">arket Sensitive Decisions Committee </w:t>
      </w:r>
      <w:r w:rsidRPr="00F440C4">
        <w:t>should encourage diverse representation of self-financing participants. Accordingly, self-financing participants are encouraged to respect this need when considering standing for election.</w:t>
      </w:r>
    </w:p>
    <w:p w14:paraId="7E8D1F4F" w14:textId="77777777" w:rsidR="00F440C4" w:rsidRDefault="00F440C4" w:rsidP="002D5BF8">
      <w:pPr>
        <w:spacing w:line="276" w:lineRule="auto"/>
        <w:jc w:val="both"/>
      </w:pPr>
    </w:p>
    <w:p w14:paraId="3D36EC54" w14:textId="77777777" w:rsidR="00E64B37" w:rsidRDefault="00E64B37" w:rsidP="002D5BF8">
      <w:pPr>
        <w:spacing w:line="276" w:lineRule="auto"/>
        <w:jc w:val="both"/>
      </w:pPr>
      <w:r>
        <w:rPr>
          <w:b/>
        </w:rPr>
        <w:t>Establishment</w:t>
      </w:r>
      <w:r w:rsidR="00246B88">
        <w:rPr>
          <w:b/>
        </w:rPr>
        <w:t xml:space="preserve"> and next steps</w:t>
      </w:r>
    </w:p>
    <w:p w14:paraId="7F15351E" w14:textId="77777777" w:rsidR="00E64B37" w:rsidRDefault="00E64B37" w:rsidP="002D5BF8">
      <w:pPr>
        <w:spacing w:line="276" w:lineRule="auto"/>
        <w:jc w:val="both"/>
      </w:pPr>
    </w:p>
    <w:p w14:paraId="6BA3C199" w14:textId="3374B7AD" w:rsidR="008134A5" w:rsidRDefault="00D961D0" w:rsidP="00FB5889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The detail of the form and function of the Shareholders Council and Executive Committee are not mandated in the Terms and Conditions. It will be necessary to reach a consensus amongst participants regarding the role of </w:t>
      </w:r>
      <w:r w:rsidR="000A5E7B">
        <w:t xml:space="preserve">the </w:t>
      </w:r>
      <w:r>
        <w:t xml:space="preserve">Shareholders Council and Executive Committee, including the threshold and process for strategic </w:t>
      </w:r>
      <w:r w:rsidR="00732D05">
        <w:t xml:space="preserve">guidance, advice, </w:t>
      </w:r>
      <w:r>
        <w:t>decision-making and operational oversight. To this end,</w:t>
      </w:r>
      <w:r w:rsidR="008E6888">
        <w:t xml:space="preserve"> </w:t>
      </w:r>
      <w:r w:rsidR="00A6178F">
        <w:t xml:space="preserve">it is important that self-financing participants work with </w:t>
      </w:r>
      <w:r w:rsidR="008E6888">
        <w:t xml:space="preserve">the </w:t>
      </w:r>
      <w:proofErr w:type="spellStart"/>
      <w:r w:rsidR="008E6888">
        <w:t>Gavi</w:t>
      </w:r>
      <w:proofErr w:type="spellEnd"/>
      <w:r w:rsidR="008E6888">
        <w:t xml:space="preserve"> Secretariat </w:t>
      </w:r>
      <w:r w:rsidR="00A6178F">
        <w:t xml:space="preserve">to </w:t>
      </w:r>
      <w:r w:rsidR="008E6888">
        <w:t>draft</w:t>
      </w:r>
      <w:r>
        <w:t xml:space="preserve"> </w:t>
      </w:r>
      <w:r w:rsidR="00463D2D">
        <w:t xml:space="preserve">Terms of Reference </w:t>
      </w:r>
      <w:r w:rsidR="00C37F9E">
        <w:t xml:space="preserve">and </w:t>
      </w:r>
      <w:r w:rsidR="00E15BE7">
        <w:t>Operating</w:t>
      </w:r>
      <w:r w:rsidR="00C37F9E">
        <w:t xml:space="preserve"> Procedure</w:t>
      </w:r>
      <w:r w:rsidR="00E15BE7">
        <w:t>s</w:t>
      </w:r>
      <w:r w:rsidR="00C37F9E">
        <w:t xml:space="preserve"> </w:t>
      </w:r>
      <w:r w:rsidR="00A6178F">
        <w:t xml:space="preserve">for the Shareholders Council and Executive Committee </w:t>
      </w:r>
      <w:r w:rsidR="00AB7964">
        <w:t>based on views of participating economies</w:t>
      </w:r>
      <w:r w:rsidR="00A6178F">
        <w:t>.</w:t>
      </w:r>
      <w:r w:rsidR="00AB7964">
        <w:t xml:space="preserve"> </w:t>
      </w:r>
      <w:r w:rsidR="00A6178F">
        <w:t>T</w:t>
      </w:r>
      <w:r w:rsidR="008E6888">
        <w:t xml:space="preserve">he </w:t>
      </w:r>
      <w:proofErr w:type="spellStart"/>
      <w:r w:rsidR="008E6888">
        <w:t>Gavi</w:t>
      </w:r>
      <w:proofErr w:type="spellEnd"/>
      <w:r w:rsidR="008E6888">
        <w:t xml:space="preserve"> Board </w:t>
      </w:r>
      <w:r w:rsidR="00D34540">
        <w:t xml:space="preserve">(as the legal entity) </w:t>
      </w:r>
      <w:r w:rsidR="00A6178F">
        <w:t xml:space="preserve">would </w:t>
      </w:r>
      <w:r w:rsidR="00C37F9E">
        <w:t>note</w:t>
      </w:r>
      <w:r w:rsidR="00A6178F">
        <w:t xml:space="preserve"> the draft Terms of Reference</w:t>
      </w:r>
      <w:r w:rsidR="00C37F9E">
        <w:t xml:space="preserve"> and </w:t>
      </w:r>
      <w:r w:rsidR="00E15BE7">
        <w:t>Operating</w:t>
      </w:r>
      <w:r w:rsidR="00C37F9E">
        <w:t xml:space="preserve"> Procedure</w:t>
      </w:r>
      <w:r w:rsidR="007223E1">
        <w:t>s</w:t>
      </w:r>
      <w:r w:rsidR="00C37F9E">
        <w:t>,</w:t>
      </w:r>
      <w:r w:rsidR="00F70E2E">
        <w:t xml:space="preserve"> subject to adoption by the Shareholders Council.</w:t>
      </w:r>
    </w:p>
    <w:p w14:paraId="0446F49C" w14:textId="77777777" w:rsidR="00FB5889" w:rsidRDefault="00FB5889" w:rsidP="00FB5889">
      <w:pPr>
        <w:pStyle w:val="ListParagraph"/>
        <w:spacing w:line="276" w:lineRule="auto"/>
        <w:ind w:left="360"/>
        <w:jc w:val="both"/>
      </w:pPr>
    </w:p>
    <w:p w14:paraId="3122B90C" w14:textId="2124322A" w:rsidR="00680357" w:rsidRDefault="002F5088" w:rsidP="00246B88">
      <w:pPr>
        <w:pStyle w:val="ListParagraph"/>
        <w:numPr>
          <w:ilvl w:val="0"/>
          <w:numId w:val="15"/>
        </w:numPr>
        <w:spacing w:line="276" w:lineRule="auto"/>
        <w:jc w:val="both"/>
      </w:pPr>
      <w:r>
        <w:t>T</w:t>
      </w:r>
      <w:r w:rsidR="00AF0994">
        <w:t>he first meeting of the Shareholders Council should then agree and adopt t</w:t>
      </w:r>
      <w:r>
        <w:t>he Terms of R</w:t>
      </w:r>
      <w:r w:rsidR="00AF0994">
        <w:t>eference</w:t>
      </w:r>
      <w:r w:rsidR="00F70E2E">
        <w:t xml:space="preserve"> and </w:t>
      </w:r>
      <w:r w:rsidR="00C10EC6">
        <w:t xml:space="preserve">Operating </w:t>
      </w:r>
      <w:r w:rsidR="00F70E2E">
        <w:t>Procedure</w:t>
      </w:r>
      <w:r w:rsidR="00C10EC6">
        <w:t>s</w:t>
      </w:r>
      <w:r w:rsidR="00F70E2E">
        <w:t xml:space="preserve"> </w:t>
      </w:r>
      <w:r w:rsidR="00AF0994">
        <w:t xml:space="preserve">and elect </w:t>
      </w:r>
      <w:r w:rsidR="00246B88">
        <w:t xml:space="preserve">chair/s and representatives </w:t>
      </w:r>
      <w:r w:rsidR="001B1F91">
        <w:t>to</w:t>
      </w:r>
      <w:r w:rsidR="00246B88">
        <w:t xml:space="preserve"> the Executive Committee</w:t>
      </w:r>
      <w:r w:rsidR="00732D05">
        <w:t xml:space="preserve"> and the Market Sensitive Decision Making Committee</w:t>
      </w:r>
      <w:r w:rsidR="00246B88">
        <w:t>.</w:t>
      </w:r>
      <w:r w:rsidR="00EE047D">
        <w:t xml:space="preserve"> It is assumed that </w:t>
      </w:r>
      <w:proofErr w:type="spellStart"/>
      <w:r w:rsidR="00EE047D">
        <w:t>Gavi’s</w:t>
      </w:r>
      <w:proofErr w:type="spellEnd"/>
      <w:r w:rsidR="00EE047D">
        <w:t xml:space="preserve"> existing </w:t>
      </w:r>
      <w:r w:rsidR="00C10EC6">
        <w:t>Operating P</w:t>
      </w:r>
      <w:r w:rsidR="00EE047D">
        <w:t>rocedure</w:t>
      </w:r>
      <w:r w:rsidR="00C10EC6">
        <w:t>s</w:t>
      </w:r>
      <w:r w:rsidR="00EE047D">
        <w:t xml:space="preserve"> and policies will </w:t>
      </w:r>
      <w:r w:rsidR="00E31432">
        <w:t xml:space="preserve">be used by </w:t>
      </w:r>
      <w:r w:rsidR="00EE047D">
        <w:t>the Council (for example conflict of interest declarations, and gender policy)</w:t>
      </w:r>
      <w:r w:rsidR="00E31432">
        <w:t xml:space="preserve"> in the interim</w:t>
      </w:r>
      <w:r w:rsidR="00F70E2E">
        <w:t xml:space="preserve"> until </w:t>
      </w:r>
      <w:r w:rsidR="00E15BE7">
        <w:t>Operating</w:t>
      </w:r>
      <w:r w:rsidR="00F70E2E">
        <w:t xml:space="preserve"> Procedure</w:t>
      </w:r>
      <w:r w:rsidR="00E15BE7">
        <w:t>s</w:t>
      </w:r>
      <w:r w:rsidR="00F70E2E">
        <w:t xml:space="preserve"> are agreed</w:t>
      </w:r>
      <w:r w:rsidR="00EE047D">
        <w:t>.</w:t>
      </w:r>
    </w:p>
    <w:p w14:paraId="1C21D9ED" w14:textId="77777777" w:rsidR="00EE2F90" w:rsidRDefault="00EE2F90" w:rsidP="00EE2F90">
      <w:pPr>
        <w:spacing w:line="276" w:lineRule="auto"/>
        <w:jc w:val="both"/>
      </w:pPr>
    </w:p>
    <w:p w14:paraId="59B22765" w14:textId="77777777" w:rsidR="00834E36" w:rsidRDefault="00834E36" w:rsidP="00680357">
      <w:pPr>
        <w:pStyle w:val="Heading2"/>
        <w:sectPr w:rsidR="00834E36" w:rsidSect="002B6045">
          <w:footerReference w:type="default" r:id="rId13"/>
          <w:footerReference w:type="first" r:id="rId14"/>
          <w:pgSz w:w="11906" w:h="16838"/>
          <w:pgMar w:top="1701" w:right="1418" w:bottom="1701" w:left="1418" w:header="397" w:footer="397" w:gutter="0"/>
          <w:cols w:space="708"/>
          <w:titlePg/>
          <w:docGrid w:linePitch="360"/>
        </w:sectPr>
      </w:pPr>
    </w:p>
    <w:p w14:paraId="229E46C7" w14:textId="77777777" w:rsidR="00680357" w:rsidRPr="008715F4" w:rsidRDefault="00680357" w:rsidP="00680357">
      <w:pPr>
        <w:pStyle w:val="Heading2"/>
        <w:rPr>
          <w:u w:val="single"/>
        </w:rPr>
      </w:pPr>
      <w:r w:rsidRPr="008715F4">
        <w:rPr>
          <w:u w:val="single"/>
        </w:rPr>
        <w:lastRenderedPageBreak/>
        <w:t>Annex 1</w:t>
      </w:r>
      <w:r w:rsidR="00834E36" w:rsidRPr="008715F4">
        <w:rPr>
          <w:u w:val="single"/>
        </w:rPr>
        <w:t>: COVAX Facility governance process</w:t>
      </w:r>
    </w:p>
    <w:p w14:paraId="2D0E0827" w14:textId="77777777" w:rsidR="00680357" w:rsidRDefault="002172BB" w:rsidP="003F4A6D"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 wp14:anchorId="5E79EDC0" wp14:editId="06A2D045">
            <wp:simplePos x="0" y="0"/>
            <wp:positionH relativeFrom="column">
              <wp:posOffset>615315</wp:posOffset>
            </wp:positionH>
            <wp:positionV relativeFrom="paragraph">
              <wp:posOffset>54610</wp:posOffset>
            </wp:positionV>
            <wp:extent cx="7820025" cy="53543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VAX Governance v2 (3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535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B7B11" w14:textId="77777777" w:rsidR="00680357" w:rsidRDefault="00680357">
      <w:pPr>
        <w:tabs>
          <w:tab w:val="clear" w:pos="567"/>
        </w:tabs>
        <w:spacing w:line="240" w:lineRule="auto"/>
      </w:pPr>
      <w:r>
        <w:br w:type="page"/>
      </w:r>
    </w:p>
    <w:p w14:paraId="668CE5CF" w14:textId="77777777" w:rsidR="00834E36" w:rsidRDefault="00834E36" w:rsidP="00680357">
      <w:pPr>
        <w:pStyle w:val="Heading2"/>
        <w:sectPr w:rsidR="00834E36" w:rsidSect="00834E36">
          <w:pgSz w:w="16838" w:h="11906" w:orient="landscape"/>
          <w:pgMar w:top="1418" w:right="1701" w:bottom="1418" w:left="1701" w:header="397" w:footer="397" w:gutter="0"/>
          <w:cols w:space="708"/>
          <w:titlePg/>
          <w:docGrid w:linePitch="360"/>
        </w:sectPr>
      </w:pPr>
    </w:p>
    <w:p w14:paraId="46591D9A" w14:textId="77777777" w:rsidR="00680357" w:rsidRPr="008715F4" w:rsidRDefault="00680357" w:rsidP="00604F44">
      <w:pPr>
        <w:pStyle w:val="Heading2"/>
        <w:rPr>
          <w:u w:val="single"/>
        </w:rPr>
      </w:pPr>
      <w:r w:rsidRPr="008715F4">
        <w:rPr>
          <w:u w:val="single"/>
        </w:rPr>
        <w:lastRenderedPageBreak/>
        <w:t>Annex 2</w:t>
      </w:r>
      <w:r w:rsidR="00604F44" w:rsidRPr="008715F4">
        <w:rPr>
          <w:u w:val="single"/>
        </w:rPr>
        <w:t xml:space="preserve">: </w:t>
      </w:r>
      <w:r w:rsidR="00D56DDE" w:rsidRPr="008715F4">
        <w:rPr>
          <w:u w:val="single"/>
        </w:rPr>
        <w:t>Delegation of roles and responsibilities</w:t>
      </w:r>
    </w:p>
    <w:p w14:paraId="63D169E5" w14:textId="77777777" w:rsidR="00604F44" w:rsidRDefault="00604F44" w:rsidP="003F4A6D"/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534"/>
        <w:gridCol w:w="2051"/>
        <w:gridCol w:w="4919"/>
        <w:gridCol w:w="4922"/>
      </w:tblGrid>
      <w:tr w:rsidR="00D56DDE" w:rsidRPr="00C434BA" w14:paraId="28B1FF12" w14:textId="77777777" w:rsidTr="0020006C">
        <w:trPr>
          <w:trHeight w:val="525"/>
        </w:trPr>
        <w:tc>
          <w:tcPr>
            <w:tcW w:w="571" w:type="pct"/>
            <w:shd w:val="clear" w:color="auto" w:fill="D9D9D9" w:themeFill="background1" w:themeFillShade="D9"/>
            <w:vAlign w:val="center"/>
          </w:tcPr>
          <w:p w14:paraId="73D864EF" w14:textId="77777777" w:rsidR="00D56DDE" w:rsidRPr="0020006C" w:rsidRDefault="00D56DDE" w:rsidP="0020006C">
            <w:pPr>
              <w:spacing w:line="276" w:lineRule="auto"/>
              <w:rPr>
                <w:b/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t>Role</w:t>
            </w:r>
          </w:p>
        </w:tc>
        <w:tc>
          <w:tcPr>
            <w:tcW w:w="764" w:type="pct"/>
            <w:shd w:val="clear" w:color="auto" w:fill="D9D9D9" w:themeFill="background1" w:themeFillShade="D9"/>
            <w:vAlign w:val="center"/>
          </w:tcPr>
          <w:p w14:paraId="4FA5107F" w14:textId="77777777" w:rsidR="00D56DDE" w:rsidRPr="0020006C" w:rsidRDefault="00D56DDE" w:rsidP="0020006C">
            <w:pPr>
              <w:spacing w:line="276" w:lineRule="auto"/>
              <w:rPr>
                <w:b/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t>Body</w:t>
            </w:r>
          </w:p>
        </w:tc>
        <w:tc>
          <w:tcPr>
            <w:tcW w:w="1832" w:type="pct"/>
            <w:shd w:val="clear" w:color="auto" w:fill="D9D9D9" w:themeFill="background1" w:themeFillShade="D9"/>
            <w:vAlign w:val="center"/>
          </w:tcPr>
          <w:p w14:paraId="0A76B2BB" w14:textId="77777777" w:rsidR="00D56DDE" w:rsidRPr="0020006C" w:rsidRDefault="00D56DDE" w:rsidP="0020006C">
            <w:pPr>
              <w:spacing w:line="276" w:lineRule="auto"/>
              <w:rPr>
                <w:b/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t>Members</w:t>
            </w:r>
          </w:p>
        </w:tc>
        <w:tc>
          <w:tcPr>
            <w:tcW w:w="1833" w:type="pct"/>
            <w:shd w:val="clear" w:color="auto" w:fill="D9D9D9" w:themeFill="background1" w:themeFillShade="D9"/>
            <w:vAlign w:val="center"/>
          </w:tcPr>
          <w:p w14:paraId="06B35434" w14:textId="77777777" w:rsidR="00D56DDE" w:rsidRPr="0020006C" w:rsidRDefault="00D56DDE" w:rsidP="0020006C">
            <w:pPr>
              <w:spacing w:line="276" w:lineRule="auto"/>
              <w:rPr>
                <w:b/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t>Responsibilities</w:t>
            </w:r>
          </w:p>
        </w:tc>
      </w:tr>
      <w:tr w:rsidR="002F5088" w:rsidRPr="00C434BA" w14:paraId="42697C80" w14:textId="77777777" w:rsidTr="0020006C">
        <w:trPr>
          <w:trHeight w:val="1322"/>
        </w:trPr>
        <w:tc>
          <w:tcPr>
            <w:tcW w:w="571" w:type="pct"/>
            <w:shd w:val="clear" w:color="auto" w:fill="D9D9D9" w:themeFill="background1" w:themeFillShade="D9"/>
            <w:vAlign w:val="center"/>
          </w:tcPr>
          <w:p w14:paraId="4F932783" w14:textId="77777777" w:rsidR="002F5088" w:rsidRPr="0020006C" w:rsidRDefault="00D14044" w:rsidP="0020006C">
            <w:pPr>
              <w:spacing w:line="276" w:lineRule="auto"/>
              <w:rPr>
                <w:i/>
                <w:sz w:val="18"/>
                <w:szCs w:val="18"/>
              </w:rPr>
            </w:pPr>
            <w:r w:rsidRPr="0020006C">
              <w:rPr>
                <w:i/>
                <w:sz w:val="18"/>
                <w:szCs w:val="18"/>
              </w:rPr>
              <w:t>Audit</w:t>
            </w:r>
          </w:p>
        </w:tc>
        <w:tc>
          <w:tcPr>
            <w:tcW w:w="764" w:type="pct"/>
            <w:vAlign w:val="center"/>
          </w:tcPr>
          <w:p w14:paraId="5B5F9B7D" w14:textId="77777777" w:rsidR="002F5088" w:rsidRPr="0020006C" w:rsidRDefault="002F5088" w:rsidP="0020006C">
            <w:pPr>
              <w:spacing w:line="276" w:lineRule="auto"/>
              <w:rPr>
                <w:b/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t>Audit and Finance Committee</w:t>
            </w:r>
            <w:r w:rsidR="003F5A77">
              <w:rPr>
                <w:b/>
                <w:sz w:val="18"/>
                <w:szCs w:val="18"/>
              </w:rPr>
              <w:t xml:space="preserve"> (AFC)</w:t>
            </w:r>
          </w:p>
        </w:tc>
        <w:tc>
          <w:tcPr>
            <w:tcW w:w="1832" w:type="pct"/>
            <w:vAlign w:val="center"/>
          </w:tcPr>
          <w:p w14:paraId="67C92474" w14:textId="77777777" w:rsidR="00405D81" w:rsidRDefault="0020006C" w:rsidP="00405D81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Existing </w:t>
            </w:r>
            <w:proofErr w:type="spellStart"/>
            <w:r w:rsidRPr="0020006C">
              <w:rPr>
                <w:sz w:val="18"/>
                <w:szCs w:val="18"/>
              </w:rPr>
              <w:t>Gavi</w:t>
            </w:r>
            <w:proofErr w:type="spellEnd"/>
            <w:r w:rsidRPr="0020006C">
              <w:rPr>
                <w:sz w:val="18"/>
                <w:szCs w:val="18"/>
              </w:rPr>
              <w:t xml:space="preserve"> committee, whose mandate covers all operations of the </w:t>
            </w:r>
            <w:proofErr w:type="spellStart"/>
            <w:r w:rsidRPr="0020006C">
              <w:rPr>
                <w:sz w:val="18"/>
                <w:szCs w:val="18"/>
              </w:rPr>
              <w:t>Gavi</w:t>
            </w:r>
            <w:proofErr w:type="spellEnd"/>
            <w:r w:rsidRPr="0020006C">
              <w:rPr>
                <w:sz w:val="18"/>
                <w:szCs w:val="18"/>
              </w:rPr>
              <w:t xml:space="preserve"> Alliance including the COVAX Facility.</w:t>
            </w:r>
          </w:p>
          <w:p w14:paraId="7DDCEE83" w14:textId="1556A6A0" w:rsidR="00405D81" w:rsidRPr="00405D81" w:rsidRDefault="00405D81" w:rsidP="00405D81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405D81">
              <w:rPr>
                <w:sz w:val="18"/>
                <w:szCs w:val="18"/>
              </w:rPr>
              <w:t>Chair/s of the Shareholders Council and Executive Committee could observe the Audit and Finance Committee for discussions related to the COVAX Facility</w:t>
            </w:r>
            <w:r>
              <w:rPr>
                <w:sz w:val="18"/>
                <w:szCs w:val="18"/>
              </w:rPr>
              <w:t>.</w:t>
            </w:r>
            <w:bookmarkStart w:id="1" w:name="_GoBack"/>
            <w:bookmarkEnd w:id="1"/>
          </w:p>
        </w:tc>
        <w:tc>
          <w:tcPr>
            <w:tcW w:w="1833" w:type="pct"/>
            <w:vAlign w:val="center"/>
          </w:tcPr>
          <w:p w14:paraId="1FB70B35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Ensures availability of necessary </w:t>
            </w:r>
            <w:r w:rsidRPr="0020006C">
              <w:rPr>
                <w:b/>
                <w:sz w:val="18"/>
                <w:szCs w:val="18"/>
              </w:rPr>
              <w:t xml:space="preserve">funding </w:t>
            </w:r>
            <w:r w:rsidRPr="0020006C">
              <w:rPr>
                <w:sz w:val="18"/>
                <w:szCs w:val="18"/>
              </w:rPr>
              <w:t>and monitoring for risk.</w:t>
            </w:r>
          </w:p>
          <w:p w14:paraId="4C35AE38" w14:textId="5BE42DA0" w:rsidR="002F5088" w:rsidRPr="0020006C" w:rsidRDefault="002F5088" w:rsidP="00C413C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>R</w:t>
            </w:r>
            <w:r w:rsidR="0022331A">
              <w:rPr>
                <w:sz w:val="18"/>
                <w:szCs w:val="18"/>
              </w:rPr>
              <w:t>eceives and r</w:t>
            </w:r>
            <w:r w:rsidRPr="0020006C">
              <w:rPr>
                <w:sz w:val="18"/>
                <w:szCs w:val="18"/>
              </w:rPr>
              <w:t xml:space="preserve">eviews </w:t>
            </w:r>
            <w:r w:rsidRPr="0020006C">
              <w:rPr>
                <w:b/>
                <w:sz w:val="18"/>
                <w:szCs w:val="18"/>
              </w:rPr>
              <w:t>independent audits</w:t>
            </w:r>
            <w:r w:rsidRPr="0020006C">
              <w:rPr>
                <w:sz w:val="18"/>
                <w:szCs w:val="18"/>
              </w:rPr>
              <w:t xml:space="preserve"> of the COVAX Facility, reporting to the </w:t>
            </w:r>
            <w:proofErr w:type="spellStart"/>
            <w:r w:rsidRPr="0020006C">
              <w:rPr>
                <w:sz w:val="18"/>
                <w:szCs w:val="18"/>
              </w:rPr>
              <w:t>Gavi</w:t>
            </w:r>
            <w:proofErr w:type="spellEnd"/>
            <w:r w:rsidRPr="0020006C">
              <w:rPr>
                <w:sz w:val="18"/>
                <w:szCs w:val="18"/>
              </w:rPr>
              <w:t xml:space="preserve"> Board, briefing SC and making recommendations as appropriate.</w:t>
            </w:r>
            <w:r w:rsidR="0022331A">
              <w:rPr>
                <w:sz w:val="18"/>
                <w:szCs w:val="18"/>
              </w:rPr>
              <w:t xml:space="preserve"> Deloitte is the current independent audit provider.</w:t>
            </w:r>
          </w:p>
        </w:tc>
      </w:tr>
      <w:tr w:rsidR="002F5088" w:rsidRPr="00C434BA" w14:paraId="1AAB031D" w14:textId="77777777" w:rsidTr="0050523D">
        <w:trPr>
          <w:trHeight w:val="204"/>
        </w:trPr>
        <w:tc>
          <w:tcPr>
            <w:tcW w:w="571" w:type="pct"/>
            <w:vMerge w:val="restart"/>
            <w:shd w:val="clear" w:color="auto" w:fill="F2DBDB" w:themeFill="accent2" w:themeFillTint="33"/>
            <w:vAlign w:val="center"/>
          </w:tcPr>
          <w:p w14:paraId="63DA1264" w14:textId="77777777" w:rsidR="002F5088" w:rsidRPr="0020006C" w:rsidRDefault="002F5088" w:rsidP="0020006C">
            <w:pPr>
              <w:spacing w:line="276" w:lineRule="auto"/>
              <w:rPr>
                <w:i/>
                <w:sz w:val="18"/>
                <w:szCs w:val="18"/>
              </w:rPr>
            </w:pPr>
            <w:r w:rsidRPr="0020006C">
              <w:rPr>
                <w:i/>
                <w:sz w:val="18"/>
                <w:szCs w:val="18"/>
              </w:rPr>
              <w:t>Strategic oversight and accountability</w:t>
            </w:r>
          </w:p>
        </w:tc>
        <w:tc>
          <w:tcPr>
            <w:tcW w:w="764" w:type="pct"/>
            <w:vAlign w:val="center"/>
          </w:tcPr>
          <w:p w14:paraId="400062A4" w14:textId="77777777" w:rsidR="002F5088" w:rsidRPr="0020006C" w:rsidRDefault="002F5088" w:rsidP="0020006C">
            <w:pPr>
              <w:spacing w:line="276" w:lineRule="auto"/>
              <w:rPr>
                <w:b/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t>Shareholders Council (SC)</w:t>
            </w:r>
          </w:p>
        </w:tc>
        <w:tc>
          <w:tcPr>
            <w:tcW w:w="1832" w:type="pct"/>
            <w:vAlign w:val="center"/>
          </w:tcPr>
          <w:p w14:paraId="69D4FF06" w14:textId="77777777" w:rsidR="002F5088" w:rsidRPr="0020006C" w:rsidRDefault="002F5088" w:rsidP="00AB7964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>All self-financing participants. Possibility to include observer members represented in the AMC Stakeholders Group</w:t>
            </w:r>
            <w:r w:rsidR="00E848DC">
              <w:rPr>
                <w:sz w:val="18"/>
                <w:szCs w:val="18"/>
              </w:rPr>
              <w:t xml:space="preserve">, subject to </w:t>
            </w:r>
            <w:r w:rsidR="00F70E2E">
              <w:rPr>
                <w:sz w:val="18"/>
                <w:szCs w:val="18"/>
              </w:rPr>
              <w:t>agreement</w:t>
            </w:r>
            <w:r w:rsidR="00E848DC">
              <w:rPr>
                <w:sz w:val="18"/>
                <w:szCs w:val="18"/>
              </w:rPr>
              <w:t xml:space="preserve"> by the SC</w:t>
            </w:r>
            <w:r w:rsidRPr="0020006C">
              <w:rPr>
                <w:sz w:val="18"/>
                <w:szCs w:val="18"/>
              </w:rPr>
              <w:t xml:space="preserve">. Co-chairs to be elected from the Council (one HIC and one UMIC), but for the first meeting to be co-chaired by the Board Chairs of CEPI and </w:t>
            </w:r>
            <w:proofErr w:type="spellStart"/>
            <w:r w:rsidRPr="0020006C">
              <w:rPr>
                <w:sz w:val="18"/>
                <w:szCs w:val="18"/>
              </w:rPr>
              <w:t>Gavi</w:t>
            </w:r>
            <w:proofErr w:type="spellEnd"/>
            <w:r w:rsidRPr="0020006C">
              <w:rPr>
                <w:sz w:val="18"/>
                <w:szCs w:val="18"/>
              </w:rPr>
              <w:t xml:space="preserve"> </w:t>
            </w:r>
            <w:r w:rsidR="003F5A77">
              <w:rPr>
                <w:sz w:val="18"/>
                <w:szCs w:val="18"/>
              </w:rPr>
              <w:t xml:space="preserve">[or the </w:t>
            </w:r>
            <w:r w:rsidRPr="0020006C">
              <w:rPr>
                <w:sz w:val="18"/>
                <w:szCs w:val="18"/>
              </w:rPr>
              <w:t>ACT Accelerator Special Envoys].</w:t>
            </w:r>
          </w:p>
          <w:p w14:paraId="2B487407" w14:textId="77777777" w:rsidR="002F5088" w:rsidRPr="0020006C" w:rsidRDefault="002F5088" w:rsidP="00AB7964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Ability to invite technical experts, relevant bodies or others to present or provide advice to the SC as relevant to discussions. </w:t>
            </w:r>
          </w:p>
          <w:p w14:paraId="15980B22" w14:textId="77777777" w:rsidR="002F5088" w:rsidRPr="0020006C" w:rsidRDefault="002F5088" w:rsidP="00AB7964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>All members are treated equally in terms of membership, rights and privileges.</w:t>
            </w:r>
          </w:p>
          <w:p w14:paraId="04EFE1FC" w14:textId="77777777" w:rsidR="002F5088" w:rsidRDefault="002F5088" w:rsidP="00AB7964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>Membership in the Council lasts for the duration of an economy’s participation in the Facility (i.e. ceases if an economy withdraws).</w:t>
            </w:r>
          </w:p>
          <w:p w14:paraId="01BD30BB" w14:textId="77777777" w:rsidR="002F4D59" w:rsidRPr="0020006C" w:rsidRDefault="002F4D59" w:rsidP="00AB7964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Members appointed to the Shareholders Council should be senior representatives, and have the ability to appoint alternates</w:t>
            </w:r>
            <w:r w:rsidR="00EE2F90">
              <w:rPr>
                <w:sz w:val="18"/>
                <w:szCs w:val="18"/>
              </w:rPr>
              <w:t>.</w:t>
            </w:r>
          </w:p>
        </w:tc>
        <w:tc>
          <w:tcPr>
            <w:tcW w:w="1833" w:type="pct"/>
            <w:vAlign w:val="center"/>
          </w:tcPr>
          <w:p w14:paraId="5203218B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Provides </w:t>
            </w:r>
            <w:r w:rsidRPr="0020006C">
              <w:rPr>
                <w:b/>
                <w:sz w:val="18"/>
                <w:szCs w:val="18"/>
              </w:rPr>
              <w:t>strategic guidance and advice</w:t>
            </w:r>
            <w:r w:rsidRPr="0020006C">
              <w:rPr>
                <w:sz w:val="18"/>
                <w:szCs w:val="18"/>
              </w:rPr>
              <w:t xml:space="preserve"> to the OCF on non-technical and management matters related to self-financing economies</w:t>
            </w:r>
          </w:p>
          <w:p w14:paraId="5D2AA065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Receives </w:t>
            </w:r>
            <w:r w:rsidRPr="0020006C">
              <w:rPr>
                <w:b/>
                <w:sz w:val="18"/>
                <w:szCs w:val="18"/>
              </w:rPr>
              <w:t>quarterly reports</w:t>
            </w:r>
            <w:r w:rsidRPr="0020006C">
              <w:rPr>
                <w:sz w:val="18"/>
                <w:szCs w:val="18"/>
              </w:rPr>
              <w:t xml:space="preserve"> from the OCF on operational progress and financial updates.</w:t>
            </w:r>
          </w:p>
          <w:p w14:paraId="47583DCC" w14:textId="5AA485D8" w:rsidR="003809E4" w:rsidRDefault="004D3A18" w:rsidP="003809E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Leads, shapes and t</w:t>
            </w:r>
            <w:r w:rsidR="002F5088" w:rsidRPr="0020006C">
              <w:rPr>
                <w:sz w:val="18"/>
                <w:szCs w:val="18"/>
              </w:rPr>
              <w:t xml:space="preserve">akes decisions </w:t>
            </w:r>
            <w:r>
              <w:rPr>
                <w:sz w:val="18"/>
                <w:szCs w:val="18"/>
              </w:rPr>
              <w:t xml:space="preserve">for the Council members </w:t>
            </w:r>
            <w:r w:rsidR="002F5088" w:rsidRPr="0020006C">
              <w:rPr>
                <w:sz w:val="18"/>
                <w:szCs w:val="18"/>
              </w:rPr>
              <w:t xml:space="preserve">as necessary </w:t>
            </w:r>
            <w:r w:rsidR="002F5088" w:rsidRPr="0020006C">
              <w:rPr>
                <w:b/>
                <w:sz w:val="18"/>
                <w:szCs w:val="18"/>
              </w:rPr>
              <w:t>on</w:t>
            </w:r>
            <w:r w:rsidR="003809E4">
              <w:rPr>
                <w:b/>
                <w:sz w:val="18"/>
                <w:szCs w:val="18"/>
              </w:rPr>
              <w:t xml:space="preserve"> major operational and strategic decisions, including</w:t>
            </w:r>
            <w:r w:rsidR="002F5088" w:rsidRPr="0020006C">
              <w:rPr>
                <w:b/>
                <w:sz w:val="18"/>
                <w:szCs w:val="18"/>
              </w:rPr>
              <w:t xml:space="preserve"> unforeseen or unresolved strategic issues</w:t>
            </w:r>
            <w:r w:rsidR="002F5088" w:rsidRPr="0020006C">
              <w:rPr>
                <w:sz w:val="18"/>
                <w:szCs w:val="18"/>
              </w:rPr>
              <w:t>,</w:t>
            </w:r>
            <w:r w:rsidR="003809E4">
              <w:rPr>
                <w:sz w:val="18"/>
                <w:szCs w:val="18"/>
              </w:rPr>
              <w:t xml:space="preserve"> related to the </w:t>
            </w:r>
            <w:r w:rsidR="00F67683">
              <w:rPr>
                <w:sz w:val="18"/>
                <w:szCs w:val="18"/>
              </w:rPr>
              <w:t>self-</w:t>
            </w:r>
            <w:proofErr w:type="spellStart"/>
            <w:r w:rsidR="00F67683">
              <w:rPr>
                <w:sz w:val="18"/>
                <w:szCs w:val="18"/>
              </w:rPr>
              <w:t>finanicng</w:t>
            </w:r>
            <w:proofErr w:type="spellEnd"/>
            <w:r w:rsidR="00F67683">
              <w:rPr>
                <w:sz w:val="18"/>
                <w:szCs w:val="18"/>
              </w:rPr>
              <w:t xml:space="preserve"> cohort</w:t>
            </w:r>
            <w:r w:rsidR="002F5088" w:rsidRPr="0020006C">
              <w:rPr>
                <w:sz w:val="18"/>
                <w:szCs w:val="18"/>
              </w:rPr>
              <w:t xml:space="preserve"> e.g. endorsing a proposal on the COVAX Exchange. </w:t>
            </w:r>
          </w:p>
          <w:p w14:paraId="487976CF" w14:textId="674E1033" w:rsidR="002F5088" w:rsidRDefault="002F5088" w:rsidP="003809E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3809E4">
              <w:rPr>
                <w:sz w:val="18"/>
                <w:szCs w:val="18"/>
              </w:rPr>
              <w:t>Makes recommendations/decisions</w:t>
            </w:r>
            <w:r w:rsidRPr="003809E4">
              <w:rPr>
                <w:b/>
                <w:sz w:val="18"/>
                <w:szCs w:val="18"/>
              </w:rPr>
              <w:t xml:space="preserve"> by consensus, or if voted, by majority vote</w:t>
            </w:r>
            <w:r w:rsidR="002F4D59" w:rsidRPr="003809E4">
              <w:rPr>
                <w:b/>
                <w:sz w:val="18"/>
                <w:szCs w:val="18"/>
              </w:rPr>
              <w:t>.</w:t>
            </w:r>
            <w:r w:rsidR="00A03803" w:rsidRPr="003809E4">
              <w:rPr>
                <w:b/>
                <w:sz w:val="18"/>
                <w:szCs w:val="18"/>
              </w:rPr>
              <w:t xml:space="preserve"> </w:t>
            </w:r>
            <w:r w:rsidR="002F4D59">
              <w:rPr>
                <w:sz w:val="18"/>
                <w:szCs w:val="18"/>
              </w:rPr>
              <w:t>Options for voting are one vote per economy representative, or votes allocated to economies weighted by percentage share of investment</w:t>
            </w:r>
            <w:r w:rsidR="00EE2F90">
              <w:rPr>
                <w:sz w:val="18"/>
                <w:szCs w:val="18"/>
              </w:rPr>
              <w:t>.</w:t>
            </w:r>
            <w:r w:rsidR="003809E4">
              <w:rPr>
                <w:sz w:val="18"/>
                <w:szCs w:val="18"/>
              </w:rPr>
              <w:t xml:space="preserve"> </w:t>
            </w:r>
            <w:r w:rsidR="003809E4" w:rsidRPr="005F0BFA">
              <w:rPr>
                <w:sz w:val="18"/>
                <w:szCs w:val="18"/>
              </w:rPr>
              <w:t>(Note: Decision-making processes</w:t>
            </w:r>
            <w:r w:rsidR="003809E4">
              <w:rPr>
                <w:sz w:val="18"/>
                <w:szCs w:val="18"/>
              </w:rPr>
              <w:t>, including voting procedure,</w:t>
            </w:r>
            <w:r w:rsidR="003809E4" w:rsidRPr="005F0BFA">
              <w:rPr>
                <w:sz w:val="18"/>
                <w:szCs w:val="18"/>
              </w:rPr>
              <w:t xml:space="preserve"> within the SC would be subject to adoption by the SC of agreed </w:t>
            </w:r>
            <w:r w:rsidR="00C10EC6">
              <w:rPr>
                <w:sz w:val="18"/>
                <w:szCs w:val="18"/>
              </w:rPr>
              <w:t xml:space="preserve">Operating </w:t>
            </w:r>
            <w:r w:rsidR="003809E4" w:rsidRPr="005F0BFA">
              <w:rPr>
                <w:sz w:val="18"/>
                <w:szCs w:val="18"/>
              </w:rPr>
              <w:t>Procedure</w:t>
            </w:r>
            <w:r w:rsidR="00C10EC6">
              <w:rPr>
                <w:sz w:val="18"/>
                <w:szCs w:val="18"/>
              </w:rPr>
              <w:t>s</w:t>
            </w:r>
            <w:r w:rsidR="003809E4" w:rsidRPr="005F0BFA">
              <w:rPr>
                <w:sz w:val="18"/>
                <w:szCs w:val="18"/>
              </w:rPr>
              <w:t>.)</w:t>
            </w:r>
          </w:p>
          <w:p w14:paraId="1F47A5A9" w14:textId="270A97F0" w:rsidR="0050523D" w:rsidRPr="003809E4" w:rsidRDefault="0050523D" w:rsidP="003809E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50523D">
              <w:rPr>
                <w:sz w:val="18"/>
                <w:szCs w:val="18"/>
              </w:rPr>
              <w:t xml:space="preserve">Chair/s may attend the </w:t>
            </w:r>
            <w:proofErr w:type="spellStart"/>
            <w:r w:rsidRPr="0050523D">
              <w:rPr>
                <w:sz w:val="18"/>
                <w:szCs w:val="18"/>
              </w:rPr>
              <w:t>Gavi</w:t>
            </w:r>
            <w:proofErr w:type="spellEnd"/>
            <w:r w:rsidRPr="0050523D">
              <w:rPr>
                <w:sz w:val="18"/>
                <w:szCs w:val="18"/>
              </w:rPr>
              <w:t xml:space="preserve"> Board to engage on major operational and strategic decisions relating to the COVAX Facility self-financing and funded cohorts. The Chair of the </w:t>
            </w:r>
            <w:proofErr w:type="spellStart"/>
            <w:r w:rsidRPr="0050523D">
              <w:rPr>
                <w:sz w:val="18"/>
                <w:szCs w:val="18"/>
              </w:rPr>
              <w:t>Gavi</w:t>
            </w:r>
            <w:proofErr w:type="spellEnd"/>
            <w:r w:rsidRPr="0050523D">
              <w:rPr>
                <w:sz w:val="18"/>
                <w:szCs w:val="18"/>
              </w:rPr>
              <w:t xml:space="preserve"> Board will be invited to attend the SC.</w:t>
            </w:r>
          </w:p>
        </w:tc>
      </w:tr>
      <w:tr w:rsidR="002F5088" w:rsidRPr="00C434BA" w14:paraId="48EE0431" w14:textId="77777777" w:rsidTr="0020006C">
        <w:trPr>
          <w:trHeight w:val="525"/>
        </w:trPr>
        <w:tc>
          <w:tcPr>
            <w:tcW w:w="571" w:type="pct"/>
            <w:vMerge/>
            <w:shd w:val="clear" w:color="auto" w:fill="F2DBDB" w:themeFill="accent2" w:themeFillTint="33"/>
            <w:vAlign w:val="center"/>
          </w:tcPr>
          <w:p w14:paraId="2DA32449" w14:textId="77777777" w:rsidR="002F5088" w:rsidRPr="0020006C" w:rsidRDefault="002F5088" w:rsidP="0020006C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 w14:paraId="66B3D990" w14:textId="77777777" w:rsidR="002F5088" w:rsidRPr="0020006C" w:rsidRDefault="002F5088" w:rsidP="0020006C">
            <w:pPr>
              <w:spacing w:line="276" w:lineRule="auto"/>
              <w:rPr>
                <w:b/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t xml:space="preserve">AMC Stakeholders Group </w:t>
            </w:r>
            <w:r w:rsidRPr="0020006C">
              <w:rPr>
                <w:i/>
                <w:sz w:val="18"/>
                <w:szCs w:val="18"/>
              </w:rPr>
              <w:t xml:space="preserve">(noting this will be determined as appropriate by the </w:t>
            </w:r>
            <w:proofErr w:type="spellStart"/>
            <w:r w:rsidRPr="0020006C">
              <w:rPr>
                <w:i/>
                <w:sz w:val="18"/>
                <w:szCs w:val="18"/>
              </w:rPr>
              <w:t>Gavi</w:t>
            </w:r>
            <w:proofErr w:type="spellEnd"/>
            <w:r w:rsidRPr="0020006C">
              <w:rPr>
                <w:i/>
                <w:sz w:val="18"/>
                <w:szCs w:val="18"/>
              </w:rPr>
              <w:t xml:space="preserve"> Board)</w:t>
            </w:r>
          </w:p>
        </w:tc>
        <w:tc>
          <w:tcPr>
            <w:tcW w:w="1832" w:type="pct"/>
            <w:vAlign w:val="center"/>
          </w:tcPr>
          <w:p w14:paraId="1CAE4960" w14:textId="77777777" w:rsidR="002F5088" w:rsidRPr="0020006C" w:rsidRDefault="002F5088" w:rsidP="00FF6D61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Representatives of donors, funded participants, and independent organisations (including </w:t>
            </w:r>
            <w:proofErr w:type="spellStart"/>
            <w:r w:rsidRPr="0020006C">
              <w:rPr>
                <w:sz w:val="18"/>
                <w:szCs w:val="18"/>
              </w:rPr>
              <w:t>Gavi</w:t>
            </w:r>
            <w:proofErr w:type="spellEnd"/>
            <w:r w:rsidRPr="0020006C">
              <w:rPr>
                <w:sz w:val="18"/>
                <w:szCs w:val="18"/>
              </w:rPr>
              <w:t>, WHO).</w:t>
            </w:r>
          </w:p>
        </w:tc>
        <w:tc>
          <w:tcPr>
            <w:tcW w:w="1833" w:type="pct"/>
            <w:vAlign w:val="center"/>
          </w:tcPr>
          <w:p w14:paraId="6541961B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Provides </w:t>
            </w:r>
            <w:r w:rsidRPr="0020006C">
              <w:rPr>
                <w:b/>
                <w:sz w:val="18"/>
                <w:szCs w:val="18"/>
              </w:rPr>
              <w:t>strategic guidance and advice</w:t>
            </w:r>
            <w:r w:rsidRPr="0020006C">
              <w:rPr>
                <w:sz w:val="18"/>
                <w:szCs w:val="18"/>
              </w:rPr>
              <w:t xml:space="preserve"> to the OCF on non-technical and management matters related to the AMC.</w:t>
            </w:r>
          </w:p>
          <w:p w14:paraId="2028666C" w14:textId="67A8D9BD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Receives </w:t>
            </w:r>
            <w:r w:rsidRPr="0020006C">
              <w:rPr>
                <w:b/>
                <w:sz w:val="18"/>
                <w:szCs w:val="18"/>
              </w:rPr>
              <w:t>quarterly</w:t>
            </w:r>
            <w:r w:rsidR="00FF6D61">
              <w:rPr>
                <w:b/>
                <w:sz w:val="18"/>
                <w:szCs w:val="18"/>
              </w:rPr>
              <w:t xml:space="preserve"> reports</w:t>
            </w:r>
            <w:r w:rsidRPr="0020006C">
              <w:rPr>
                <w:sz w:val="18"/>
                <w:szCs w:val="18"/>
              </w:rPr>
              <w:t xml:space="preserve"> from the OCF on operational progress and financial updates.</w:t>
            </w:r>
          </w:p>
        </w:tc>
      </w:tr>
      <w:tr w:rsidR="002F5088" w:rsidRPr="008A4B35" w14:paraId="42FDDA01" w14:textId="77777777" w:rsidTr="0020006C">
        <w:trPr>
          <w:trHeight w:val="525"/>
        </w:trPr>
        <w:tc>
          <w:tcPr>
            <w:tcW w:w="571" w:type="pct"/>
            <w:vMerge w:val="restart"/>
            <w:shd w:val="clear" w:color="auto" w:fill="F2DBDB" w:themeFill="accent2" w:themeFillTint="33"/>
            <w:vAlign w:val="center"/>
          </w:tcPr>
          <w:p w14:paraId="6E23A629" w14:textId="77777777" w:rsidR="002F5088" w:rsidRPr="0020006C" w:rsidRDefault="002F5088" w:rsidP="0020006C">
            <w:pPr>
              <w:spacing w:line="276" w:lineRule="auto"/>
              <w:rPr>
                <w:i/>
                <w:sz w:val="18"/>
                <w:szCs w:val="18"/>
              </w:rPr>
            </w:pPr>
            <w:r w:rsidRPr="0020006C">
              <w:rPr>
                <w:i/>
                <w:sz w:val="18"/>
                <w:szCs w:val="18"/>
              </w:rPr>
              <w:t>Operational oversight</w:t>
            </w:r>
          </w:p>
        </w:tc>
        <w:tc>
          <w:tcPr>
            <w:tcW w:w="764" w:type="pct"/>
            <w:vAlign w:val="center"/>
          </w:tcPr>
          <w:p w14:paraId="68AA7558" w14:textId="77777777" w:rsidR="002F5088" w:rsidRPr="0020006C" w:rsidRDefault="002F5088" w:rsidP="0020006C">
            <w:pPr>
              <w:spacing w:line="276" w:lineRule="auto"/>
              <w:rPr>
                <w:b/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t xml:space="preserve">Shareholders Executive Committee </w:t>
            </w:r>
          </w:p>
        </w:tc>
        <w:tc>
          <w:tcPr>
            <w:tcW w:w="1832" w:type="pct"/>
            <w:vAlign w:val="center"/>
          </w:tcPr>
          <w:p w14:paraId="6E6493F2" w14:textId="77777777" w:rsidR="002F5088" w:rsidRPr="0020006C" w:rsidRDefault="002F5088" w:rsidP="00FF6D61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>Representatives elected from the SC, including one Chair or two Co-Chairs.</w:t>
            </w:r>
          </w:p>
          <w:p w14:paraId="022D2C57" w14:textId="5DBAA537" w:rsidR="00FF6D61" w:rsidRDefault="002F5088" w:rsidP="00FF6D61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Representation will be finalised once a list of participating economies is available on a suitably representative basis. </w:t>
            </w:r>
            <w:r w:rsidR="001E6D66">
              <w:rPr>
                <w:sz w:val="18"/>
                <w:szCs w:val="18"/>
              </w:rPr>
              <w:t xml:space="preserve">A hybrid model which </w:t>
            </w:r>
            <w:r w:rsidR="00C10EC6">
              <w:rPr>
                <w:sz w:val="18"/>
                <w:szCs w:val="18"/>
              </w:rPr>
              <w:t xml:space="preserve">recognises various </w:t>
            </w:r>
            <w:r w:rsidR="001E6D66">
              <w:rPr>
                <w:sz w:val="18"/>
                <w:szCs w:val="18"/>
              </w:rPr>
              <w:t>regions, income-level</w:t>
            </w:r>
            <w:r w:rsidR="00CE4582">
              <w:rPr>
                <w:sz w:val="18"/>
                <w:szCs w:val="18"/>
              </w:rPr>
              <w:t xml:space="preserve"> (HIC/UMIC)</w:t>
            </w:r>
            <w:r w:rsidR="001E6D66">
              <w:rPr>
                <w:sz w:val="18"/>
                <w:szCs w:val="18"/>
              </w:rPr>
              <w:t xml:space="preserve"> and size of </w:t>
            </w:r>
            <w:r w:rsidR="00CE4582">
              <w:rPr>
                <w:sz w:val="18"/>
                <w:szCs w:val="18"/>
              </w:rPr>
              <w:t xml:space="preserve">investment and </w:t>
            </w:r>
            <w:r w:rsidR="001E6D66">
              <w:rPr>
                <w:sz w:val="18"/>
                <w:szCs w:val="18"/>
              </w:rPr>
              <w:t>economies, as well as level of investment into the COVAX Facility, will be used.</w:t>
            </w:r>
            <w:r w:rsidR="00FB6C45" w:rsidRPr="00F67683">
              <w:rPr>
                <w:sz w:val="18"/>
                <w:szCs w:val="18"/>
              </w:rPr>
              <w:t xml:space="preserve"> </w:t>
            </w:r>
          </w:p>
          <w:p w14:paraId="059B8977" w14:textId="6B2C9609" w:rsidR="00FF6D61" w:rsidRDefault="00E31432" w:rsidP="00FF6D61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F67683">
              <w:rPr>
                <w:sz w:val="18"/>
                <w:szCs w:val="18"/>
              </w:rPr>
              <w:t xml:space="preserve">Self-financing participants are encouraged to respect the need for diverse representation when considering standing for election </w:t>
            </w:r>
            <w:r w:rsidR="00C413C9">
              <w:rPr>
                <w:sz w:val="18"/>
                <w:szCs w:val="18"/>
              </w:rPr>
              <w:t xml:space="preserve">to </w:t>
            </w:r>
            <w:r>
              <w:rPr>
                <w:sz w:val="18"/>
                <w:szCs w:val="18"/>
              </w:rPr>
              <w:t>the Shareholders Executive Committee</w:t>
            </w:r>
            <w:r w:rsidR="00FB6C45" w:rsidRPr="0020006C">
              <w:rPr>
                <w:sz w:val="18"/>
                <w:szCs w:val="18"/>
              </w:rPr>
              <w:t>.</w:t>
            </w:r>
            <w:r w:rsidR="00F93C3C">
              <w:rPr>
                <w:sz w:val="18"/>
                <w:szCs w:val="18"/>
              </w:rPr>
              <w:t xml:space="preserve"> </w:t>
            </w:r>
          </w:p>
          <w:p w14:paraId="238CA918" w14:textId="185164FA" w:rsidR="0020006C" w:rsidRPr="0020006C" w:rsidRDefault="00F93C3C" w:rsidP="00FF6D61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2B590A">
              <w:rPr>
                <w:sz w:val="18"/>
                <w:szCs w:val="18"/>
              </w:rPr>
              <w:t>In the interest of transparency, t</w:t>
            </w:r>
            <w:r w:rsidR="00984AC7" w:rsidRPr="002B590A">
              <w:rPr>
                <w:sz w:val="18"/>
                <w:szCs w:val="18"/>
              </w:rPr>
              <w:t>he Executive Committee would be open to observers from all self-financing economies.</w:t>
            </w:r>
          </w:p>
        </w:tc>
        <w:tc>
          <w:tcPr>
            <w:tcW w:w="1833" w:type="pct"/>
            <w:vAlign w:val="center"/>
          </w:tcPr>
          <w:p w14:paraId="663FD30F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Receives </w:t>
            </w:r>
            <w:r w:rsidRPr="0020006C">
              <w:rPr>
                <w:b/>
                <w:sz w:val="18"/>
                <w:szCs w:val="18"/>
              </w:rPr>
              <w:t>regular reports</w:t>
            </w:r>
            <w:r w:rsidRPr="0020006C">
              <w:rPr>
                <w:sz w:val="18"/>
                <w:szCs w:val="18"/>
              </w:rPr>
              <w:t xml:space="preserve"> from the OCF on technical decisions, operational progress and financial updates.</w:t>
            </w:r>
          </w:p>
          <w:p w14:paraId="3990E262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>Provides a “sounding board”/</w:t>
            </w:r>
            <w:r w:rsidRPr="0020006C">
              <w:rPr>
                <w:b/>
                <w:sz w:val="18"/>
                <w:szCs w:val="18"/>
              </w:rPr>
              <w:t>consultative mechanism</w:t>
            </w:r>
            <w:r w:rsidRPr="0020006C">
              <w:rPr>
                <w:sz w:val="18"/>
                <w:szCs w:val="18"/>
              </w:rPr>
              <w:t xml:space="preserve"> for OCF decisions related to self-financing participants between SC meetings.</w:t>
            </w:r>
          </w:p>
          <w:p w14:paraId="06498DB7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t>Identifies recommendations/ decisions</w:t>
            </w:r>
            <w:r w:rsidRPr="0020006C">
              <w:rPr>
                <w:sz w:val="18"/>
                <w:szCs w:val="18"/>
              </w:rPr>
              <w:t xml:space="preserve"> which should be put to the Shareholders Council.</w:t>
            </w:r>
          </w:p>
          <w:p w14:paraId="4ECE5D3A" w14:textId="77777777" w:rsidR="003809E4" w:rsidRDefault="002F5088" w:rsidP="003809E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Conducts more </w:t>
            </w:r>
            <w:r w:rsidRPr="0020006C">
              <w:rPr>
                <w:b/>
                <w:sz w:val="18"/>
                <w:szCs w:val="18"/>
              </w:rPr>
              <w:t>detailed discussions on forthcoming issues</w:t>
            </w:r>
            <w:r w:rsidRPr="0020006C">
              <w:rPr>
                <w:sz w:val="18"/>
                <w:szCs w:val="18"/>
              </w:rPr>
              <w:t xml:space="preserve"> for the SC, determines SC agendas, and develops papers for SC consideration where required (e.g. on the COVAX Excha</w:t>
            </w:r>
            <w:r w:rsidR="0020006C" w:rsidRPr="0020006C">
              <w:rPr>
                <w:sz w:val="18"/>
                <w:szCs w:val="18"/>
              </w:rPr>
              <w:t>ng</w:t>
            </w:r>
            <w:r w:rsidRPr="0020006C">
              <w:rPr>
                <w:sz w:val="18"/>
                <w:szCs w:val="18"/>
              </w:rPr>
              <w:t>e).</w:t>
            </w:r>
          </w:p>
          <w:p w14:paraId="5DDB594D" w14:textId="69810F30" w:rsidR="003809E4" w:rsidRPr="003809E4" w:rsidRDefault="004D3A18" w:rsidP="0050523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Chair/s may attend </w:t>
            </w:r>
            <w:r w:rsidR="003809E4">
              <w:rPr>
                <w:sz w:val="18"/>
                <w:szCs w:val="18"/>
              </w:rPr>
              <w:t xml:space="preserve">the </w:t>
            </w:r>
            <w:proofErr w:type="spellStart"/>
            <w:r w:rsidR="003809E4">
              <w:rPr>
                <w:sz w:val="18"/>
                <w:szCs w:val="18"/>
              </w:rPr>
              <w:t>Gavi</w:t>
            </w:r>
            <w:proofErr w:type="spellEnd"/>
            <w:r w:rsidR="003809E4">
              <w:rPr>
                <w:sz w:val="18"/>
                <w:szCs w:val="18"/>
              </w:rPr>
              <w:t xml:space="preserve"> Board to </w:t>
            </w:r>
            <w:r w:rsidR="0050523D">
              <w:rPr>
                <w:sz w:val="18"/>
                <w:szCs w:val="18"/>
              </w:rPr>
              <w:t>engage on</w:t>
            </w:r>
            <w:r w:rsidR="003809E4">
              <w:rPr>
                <w:sz w:val="18"/>
                <w:szCs w:val="18"/>
              </w:rPr>
              <w:t xml:space="preserve"> major operational and strategic decisions relating to the COVAX Facility self-financing and funded cohorts.</w:t>
            </w:r>
            <w:r w:rsidR="0050523D">
              <w:rPr>
                <w:sz w:val="18"/>
                <w:szCs w:val="18"/>
              </w:rPr>
              <w:t xml:space="preserve"> </w:t>
            </w:r>
            <w:r w:rsidR="0050523D" w:rsidRPr="0050523D">
              <w:rPr>
                <w:sz w:val="18"/>
                <w:szCs w:val="18"/>
              </w:rPr>
              <w:t xml:space="preserve">The Chair of the </w:t>
            </w:r>
            <w:proofErr w:type="spellStart"/>
            <w:r w:rsidR="0050523D" w:rsidRPr="0050523D">
              <w:rPr>
                <w:sz w:val="18"/>
                <w:szCs w:val="18"/>
              </w:rPr>
              <w:t>Gavi</w:t>
            </w:r>
            <w:proofErr w:type="spellEnd"/>
            <w:r w:rsidR="0050523D" w:rsidRPr="0050523D">
              <w:rPr>
                <w:sz w:val="18"/>
                <w:szCs w:val="18"/>
              </w:rPr>
              <w:t xml:space="preserve"> Board will be invited to attend the Executive Committee.</w:t>
            </w:r>
          </w:p>
        </w:tc>
      </w:tr>
      <w:tr w:rsidR="002F5088" w:rsidRPr="008A4B35" w14:paraId="6E7C8DDE" w14:textId="77777777" w:rsidTr="0020006C">
        <w:trPr>
          <w:trHeight w:val="525"/>
        </w:trPr>
        <w:tc>
          <w:tcPr>
            <w:tcW w:w="571" w:type="pct"/>
            <w:vMerge/>
            <w:shd w:val="clear" w:color="auto" w:fill="F2DBDB" w:themeFill="accent2" w:themeFillTint="33"/>
            <w:vAlign w:val="center"/>
          </w:tcPr>
          <w:p w14:paraId="1FA13BF2" w14:textId="77777777" w:rsidR="002F5088" w:rsidRPr="0020006C" w:rsidRDefault="002F5088" w:rsidP="0020006C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 w14:paraId="078575C1" w14:textId="77777777" w:rsidR="002F5088" w:rsidRPr="0020006C" w:rsidRDefault="002F5088" w:rsidP="0020006C">
            <w:pPr>
              <w:spacing w:line="276" w:lineRule="auto"/>
              <w:rPr>
                <w:i/>
                <w:sz w:val="18"/>
                <w:szCs w:val="18"/>
              </w:rPr>
            </w:pPr>
            <w:proofErr w:type="spellStart"/>
            <w:r w:rsidRPr="0020006C">
              <w:rPr>
                <w:b/>
                <w:sz w:val="18"/>
                <w:szCs w:val="18"/>
              </w:rPr>
              <w:t>Gavi</w:t>
            </w:r>
            <w:proofErr w:type="spellEnd"/>
            <w:r w:rsidRPr="0020006C">
              <w:rPr>
                <w:b/>
                <w:sz w:val="18"/>
                <w:szCs w:val="18"/>
              </w:rPr>
              <w:t xml:space="preserve"> Board</w:t>
            </w:r>
          </w:p>
        </w:tc>
        <w:tc>
          <w:tcPr>
            <w:tcW w:w="1832" w:type="pct"/>
            <w:vAlign w:val="center"/>
          </w:tcPr>
          <w:p w14:paraId="2603217D" w14:textId="77777777" w:rsidR="002F5088" w:rsidRPr="0020006C" w:rsidRDefault="0020006C" w:rsidP="00FF6D61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>Existing member</w:t>
            </w:r>
            <w:r>
              <w:rPr>
                <w:sz w:val="18"/>
                <w:szCs w:val="18"/>
              </w:rPr>
              <w:t>ship</w:t>
            </w:r>
            <w:r w:rsidRPr="0020006C">
              <w:rPr>
                <w:sz w:val="18"/>
                <w:szCs w:val="18"/>
              </w:rPr>
              <w:t xml:space="preserve">, whose mandate covers all operations of the </w:t>
            </w:r>
            <w:proofErr w:type="spellStart"/>
            <w:r w:rsidRPr="0020006C">
              <w:rPr>
                <w:sz w:val="18"/>
                <w:szCs w:val="18"/>
              </w:rPr>
              <w:t>Gavi</w:t>
            </w:r>
            <w:proofErr w:type="spellEnd"/>
            <w:r w:rsidRPr="0020006C">
              <w:rPr>
                <w:sz w:val="18"/>
                <w:szCs w:val="18"/>
              </w:rPr>
              <w:t xml:space="preserve"> Alliance including the COVAX Facility.</w:t>
            </w:r>
          </w:p>
        </w:tc>
        <w:tc>
          <w:tcPr>
            <w:tcW w:w="1833" w:type="pct"/>
            <w:vAlign w:val="center"/>
          </w:tcPr>
          <w:p w14:paraId="612890F9" w14:textId="77777777" w:rsidR="00D73703" w:rsidRDefault="0020006C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t>Provides strategic direction and policy-making</w:t>
            </w:r>
            <w:r w:rsidR="00D73703">
              <w:rPr>
                <w:sz w:val="18"/>
                <w:szCs w:val="18"/>
              </w:rPr>
              <w:t>, including in coordination with the Shareholders Executive Committee as appropriate.</w:t>
            </w:r>
          </w:p>
          <w:p w14:paraId="6C4E951E" w14:textId="272229D1" w:rsidR="0020006C" w:rsidRPr="0020006C" w:rsidRDefault="00D73703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20006C" w:rsidRPr="0020006C">
              <w:rPr>
                <w:sz w:val="18"/>
                <w:szCs w:val="18"/>
              </w:rPr>
              <w:t xml:space="preserve">versees the operations of the </w:t>
            </w:r>
            <w:proofErr w:type="spellStart"/>
            <w:r w:rsidR="0020006C" w:rsidRPr="0020006C">
              <w:rPr>
                <w:sz w:val="18"/>
                <w:szCs w:val="18"/>
              </w:rPr>
              <w:t>Gavi</w:t>
            </w:r>
            <w:proofErr w:type="spellEnd"/>
            <w:r w:rsidR="0020006C" w:rsidRPr="0020006C">
              <w:rPr>
                <w:sz w:val="18"/>
                <w:szCs w:val="18"/>
              </w:rPr>
              <w:t xml:space="preserve"> Alliance.</w:t>
            </w:r>
          </w:p>
          <w:p w14:paraId="1DBB98FC" w14:textId="77777777" w:rsidR="0020006C" w:rsidRPr="0020006C" w:rsidRDefault="0020006C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Approves the </w:t>
            </w:r>
            <w:proofErr w:type="spellStart"/>
            <w:r w:rsidRPr="0020006C">
              <w:rPr>
                <w:b/>
                <w:sz w:val="18"/>
                <w:szCs w:val="18"/>
              </w:rPr>
              <w:t>Gavi</w:t>
            </w:r>
            <w:proofErr w:type="spellEnd"/>
            <w:r w:rsidRPr="0020006C">
              <w:rPr>
                <w:b/>
                <w:sz w:val="18"/>
                <w:szCs w:val="18"/>
              </w:rPr>
              <w:t xml:space="preserve"> Alliance as the legal entity</w:t>
            </w:r>
            <w:r w:rsidRPr="0020006C">
              <w:rPr>
                <w:sz w:val="18"/>
                <w:szCs w:val="18"/>
              </w:rPr>
              <w:t xml:space="preserve"> to administer the COVAX Facility and </w:t>
            </w:r>
            <w:r w:rsidR="003F5A77">
              <w:rPr>
                <w:sz w:val="18"/>
                <w:szCs w:val="18"/>
              </w:rPr>
              <w:t xml:space="preserve">has </w:t>
            </w:r>
            <w:r w:rsidRPr="0020006C">
              <w:rPr>
                <w:sz w:val="18"/>
                <w:szCs w:val="18"/>
              </w:rPr>
              <w:t xml:space="preserve">a responsibility to ensure that </w:t>
            </w:r>
            <w:r w:rsidR="003F5A77">
              <w:rPr>
                <w:sz w:val="18"/>
                <w:szCs w:val="18"/>
              </w:rPr>
              <w:t xml:space="preserve">the </w:t>
            </w:r>
            <w:proofErr w:type="spellStart"/>
            <w:r w:rsidRPr="0020006C">
              <w:rPr>
                <w:sz w:val="18"/>
                <w:szCs w:val="18"/>
              </w:rPr>
              <w:t>Gavi</w:t>
            </w:r>
            <w:proofErr w:type="spellEnd"/>
            <w:r w:rsidRPr="0020006C">
              <w:rPr>
                <w:sz w:val="18"/>
                <w:szCs w:val="18"/>
              </w:rPr>
              <w:t xml:space="preserve"> Alliance acts within </w:t>
            </w:r>
            <w:proofErr w:type="spellStart"/>
            <w:proofErr w:type="gramStart"/>
            <w:r w:rsidRPr="0020006C">
              <w:rPr>
                <w:sz w:val="18"/>
                <w:szCs w:val="18"/>
              </w:rPr>
              <w:t>it’s</w:t>
            </w:r>
            <w:proofErr w:type="spellEnd"/>
            <w:proofErr w:type="gramEnd"/>
            <w:r w:rsidRPr="0020006C">
              <w:rPr>
                <w:sz w:val="18"/>
                <w:szCs w:val="18"/>
              </w:rPr>
              <w:t xml:space="preserve"> mandate in this role</w:t>
            </w:r>
            <w:r>
              <w:rPr>
                <w:sz w:val="18"/>
                <w:szCs w:val="18"/>
              </w:rPr>
              <w:t xml:space="preserve">. The </w:t>
            </w:r>
            <w:proofErr w:type="spellStart"/>
            <w:r>
              <w:rPr>
                <w:sz w:val="18"/>
                <w:szCs w:val="18"/>
              </w:rPr>
              <w:t>Gavi</w:t>
            </w:r>
            <w:proofErr w:type="spellEnd"/>
            <w:r>
              <w:rPr>
                <w:sz w:val="18"/>
                <w:szCs w:val="18"/>
              </w:rPr>
              <w:t xml:space="preserve"> Alliance, as </w:t>
            </w:r>
            <w:r w:rsidRPr="0020006C">
              <w:rPr>
                <w:sz w:val="18"/>
                <w:szCs w:val="18"/>
              </w:rPr>
              <w:t>the legal entity, is formally responsible for decisions and effective implementation of the COVAX Facility.</w:t>
            </w:r>
          </w:p>
          <w:p w14:paraId="40E8C367" w14:textId="77777777" w:rsidR="00CE4582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Receives </w:t>
            </w:r>
            <w:r w:rsidRPr="0020006C">
              <w:rPr>
                <w:b/>
                <w:sz w:val="18"/>
                <w:szCs w:val="18"/>
              </w:rPr>
              <w:t>regular reports</w:t>
            </w:r>
            <w:r w:rsidRPr="0020006C">
              <w:rPr>
                <w:sz w:val="18"/>
                <w:szCs w:val="18"/>
              </w:rPr>
              <w:t xml:space="preserve"> </w:t>
            </w:r>
            <w:r w:rsidR="00E31432">
              <w:rPr>
                <w:sz w:val="18"/>
                <w:szCs w:val="18"/>
              </w:rPr>
              <w:t xml:space="preserve">for information </w:t>
            </w:r>
            <w:r w:rsidRPr="0020006C">
              <w:rPr>
                <w:sz w:val="18"/>
                <w:szCs w:val="18"/>
              </w:rPr>
              <w:t>fr</w:t>
            </w:r>
            <w:r w:rsidR="00EE2F90">
              <w:rPr>
                <w:sz w:val="18"/>
                <w:szCs w:val="18"/>
              </w:rPr>
              <w:t xml:space="preserve">om the Shareholders Council on </w:t>
            </w:r>
            <w:r w:rsidRPr="0020006C">
              <w:rPr>
                <w:sz w:val="18"/>
                <w:szCs w:val="18"/>
              </w:rPr>
              <w:t xml:space="preserve">operational progress </w:t>
            </w:r>
            <w:r w:rsidR="00EE2F90">
              <w:rPr>
                <w:sz w:val="18"/>
                <w:szCs w:val="18"/>
              </w:rPr>
              <w:t>and performance.</w:t>
            </w:r>
          </w:p>
          <w:p w14:paraId="3C9D27AD" w14:textId="77777777" w:rsidR="002F5088" w:rsidRPr="0020006C" w:rsidRDefault="00CE4582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Recieves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2F5088" w:rsidRPr="0020006C">
              <w:rPr>
                <w:sz w:val="18"/>
                <w:szCs w:val="18"/>
              </w:rPr>
              <w:t>financial updates (including from the AFC and MSDC)</w:t>
            </w:r>
            <w:r>
              <w:rPr>
                <w:sz w:val="18"/>
                <w:szCs w:val="18"/>
              </w:rPr>
              <w:t xml:space="preserve"> </w:t>
            </w:r>
            <w:r w:rsidR="00EE2F90">
              <w:rPr>
                <w:sz w:val="18"/>
                <w:szCs w:val="18"/>
              </w:rPr>
              <w:t xml:space="preserve">on all </w:t>
            </w:r>
            <w:proofErr w:type="spellStart"/>
            <w:r w:rsidR="00EE2F90">
              <w:rPr>
                <w:sz w:val="18"/>
                <w:szCs w:val="18"/>
              </w:rPr>
              <w:t>Gavi</w:t>
            </w:r>
            <w:proofErr w:type="spellEnd"/>
            <w:r w:rsidR="00EE2F90">
              <w:rPr>
                <w:sz w:val="18"/>
                <w:szCs w:val="18"/>
              </w:rPr>
              <w:t xml:space="preserve"> Alliance operations.</w:t>
            </w:r>
          </w:p>
          <w:p w14:paraId="7407E8D8" w14:textId="77777777" w:rsidR="002F5088" w:rsidRPr="0020006C" w:rsidRDefault="0020006C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Provides </w:t>
            </w:r>
            <w:r w:rsidRPr="0020006C">
              <w:rPr>
                <w:b/>
                <w:sz w:val="18"/>
                <w:szCs w:val="18"/>
              </w:rPr>
              <w:t>s</w:t>
            </w:r>
            <w:r w:rsidR="002F5088" w:rsidRPr="0020006C">
              <w:rPr>
                <w:b/>
                <w:sz w:val="18"/>
                <w:szCs w:val="18"/>
              </w:rPr>
              <w:t>trategic oversight</w:t>
            </w:r>
            <w:r w:rsidR="002F5088" w:rsidRPr="0020006C">
              <w:rPr>
                <w:sz w:val="18"/>
                <w:szCs w:val="18"/>
              </w:rPr>
              <w:t xml:space="preserve"> of the COVAX AMC and effective implementation </w:t>
            </w:r>
            <w:r>
              <w:rPr>
                <w:sz w:val="18"/>
                <w:szCs w:val="18"/>
              </w:rPr>
              <w:t>including country engagement.</w:t>
            </w:r>
          </w:p>
        </w:tc>
      </w:tr>
      <w:tr w:rsidR="002F5088" w:rsidRPr="00B667AF" w14:paraId="0834224D" w14:textId="77777777" w:rsidTr="0020006C">
        <w:trPr>
          <w:trHeight w:val="525"/>
        </w:trPr>
        <w:tc>
          <w:tcPr>
            <w:tcW w:w="571" w:type="pct"/>
            <w:shd w:val="clear" w:color="auto" w:fill="E5DFEC" w:themeFill="accent4" w:themeFillTint="33"/>
            <w:vAlign w:val="center"/>
          </w:tcPr>
          <w:p w14:paraId="3B5B70F7" w14:textId="77777777" w:rsidR="002F5088" w:rsidRPr="0020006C" w:rsidRDefault="002F5088" w:rsidP="0020006C">
            <w:pPr>
              <w:spacing w:line="276" w:lineRule="auto"/>
              <w:rPr>
                <w:i/>
                <w:sz w:val="18"/>
                <w:szCs w:val="18"/>
              </w:rPr>
            </w:pPr>
            <w:r w:rsidRPr="0020006C">
              <w:rPr>
                <w:i/>
                <w:sz w:val="18"/>
                <w:szCs w:val="18"/>
              </w:rPr>
              <w:t>Operational decisions</w:t>
            </w:r>
          </w:p>
        </w:tc>
        <w:tc>
          <w:tcPr>
            <w:tcW w:w="764" w:type="pct"/>
            <w:vAlign w:val="center"/>
          </w:tcPr>
          <w:p w14:paraId="3E097C30" w14:textId="77777777" w:rsidR="002F5088" w:rsidRPr="0020006C" w:rsidRDefault="002F5088" w:rsidP="0020006C">
            <w:pPr>
              <w:spacing w:line="276" w:lineRule="auto"/>
              <w:rPr>
                <w:b/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t>Office of the COVAX Facility (OCF)</w:t>
            </w:r>
            <w:r w:rsidRPr="0020006C">
              <w:rPr>
                <w:i/>
                <w:sz w:val="18"/>
                <w:szCs w:val="18"/>
              </w:rPr>
              <w:t xml:space="preserve"> </w:t>
            </w:r>
            <w:r w:rsidR="0020006C">
              <w:rPr>
                <w:i/>
                <w:sz w:val="18"/>
                <w:szCs w:val="18"/>
              </w:rPr>
              <w:t>(</w:t>
            </w:r>
            <w:r w:rsidRPr="0020006C">
              <w:rPr>
                <w:i/>
                <w:sz w:val="18"/>
                <w:szCs w:val="18"/>
              </w:rPr>
              <w:t xml:space="preserve">established and operating within the </w:t>
            </w:r>
            <w:proofErr w:type="spellStart"/>
            <w:r w:rsidRPr="0020006C">
              <w:rPr>
                <w:i/>
                <w:sz w:val="18"/>
                <w:szCs w:val="18"/>
              </w:rPr>
              <w:t>Gavi</w:t>
            </w:r>
            <w:proofErr w:type="spellEnd"/>
            <w:r w:rsidRPr="0020006C">
              <w:rPr>
                <w:i/>
                <w:sz w:val="18"/>
                <w:szCs w:val="18"/>
              </w:rPr>
              <w:t xml:space="preserve"> Alliance as the legal entity</w:t>
            </w:r>
            <w:r w:rsidR="0020006C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832" w:type="pct"/>
            <w:vAlign w:val="center"/>
          </w:tcPr>
          <w:p w14:paraId="0CEE09B8" w14:textId="77777777" w:rsidR="002F5088" w:rsidRPr="0020006C" w:rsidRDefault="002F5088" w:rsidP="00FF6D61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Staffed by experts employed by the </w:t>
            </w:r>
            <w:proofErr w:type="spellStart"/>
            <w:r w:rsidRPr="0020006C">
              <w:rPr>
                <w:sz w:val="18"/>
                <w:szCs w:val="18"/>
              </w:rPr>
              <w:t>Gavi</w:t>
            </w:r>
            <w:proofErr w:type="spellEnd"/>
            <w:r w:rsidRPr="0020006C">
              <w:rPr>
                <w:sz w:val="18"/>
                <w:szCs w:val="18"/>
              </w:rPr>
              <w:t xml:space="preserve"> Alliance and funded by Facility operating costs. </w:t>
            </w:r>
          </w:p>
        </w:tc>
        <w:tc>
          <w:tcPr>
            <w:tcW w:w="1833" w:type="pct"/>
            <w:vAlign w:val="center"/>
          </w:tcPr>
          <w:p w14:paraId="22F787E0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Enters into </w:t>
            </w:r>
            <w:r w:rsidRPr="0020006C">
              <w:rPr>
                <w:b/>
                <w:sz w:val="18"/>
                <w:szCs w:val="18"/>
              </w:rPr>
              <w:t>Commitment Agreements</w:t>
            </w:r>
            <w:r w:rsidRPr="0020006C">
              <w:rPr>
                <w:sz w:val="18"/>
                <w:szCs w:val="18"/>
              </w:rPr>
              <w:t>.</w:t>
            </w:r>
          </w:p>
          <w:p w14:paraId="0D24606A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Enters into and monitor implementation of agreements with </w:t>
            </w:r>
            <w:r w:rsidRPr="0020006C">
              <w:rPr>
                <w:b/>
                <w:sz w:val="18"/>
                <w:szCs w:val="18"/>
              </w:rPr>
              <w:t>manufacturers</w:t>
            </w:r>
            <w:r w:rsidRPr="0020006C">
              <w:rPr>
                <w:sz w:val="18"/>
                <w:szCs w:val="18"/>
              </w:rPr>
              <w:t xml:space="preserve">, and agreements with pooled procurement mechanisms. </w:t>
            </w:r>
          </w:p>
          <w:p w14:paraId="47937349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Manages </w:t>
            </w:r>
            <w:r w:rsidRPr="0020006C">
              <w:rPr>
                <w:b/>
                <w:sz w:val="18"/>
                <w:szCs w:val="18"/>
              </w:rPr>
              <w:t>investment portfolio</w:t>
            </w:r>
            <w:r w:rsidRPr="0020006C">
              <w:rPr>
                <w:sz w:val="18"/>
                <w:szCs w:val="18"/>
              </w:rPr>
              <w:t xml:space="preserve"> based on technical advice.</w:t>
            </w:r>
          </w:p>
          <w:p w14:paraId="7EBA9ADF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Makes </w:t>
            </w:r>
            <w:r w:rsidRPr="0020006C">
              <w:rPr>
                <w:b/>
                <w:sz w:val="18"/>
                <w:szCs w:val="18"/>
              </w:rPr>
              <w:t>allocation decisions</w:t>
            </w:r>
            <w:r w:rsidRPr="0020006C">
              <w:rPr>
                <w:sz w:val="18"/>
                <w:szCs w:val="18"/>
              </w:rPr>
              <w:t xml:space="preserve"> in line with Terms and Conditions.</w:t>
            </w:r>
          </w:p>
          <w:p w14:paraId="57D457AB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Provides </w:t>
            </w:r>
            <w:r w:rsidRPr="0020006C">
              <w:rPr>
                <w:b/>
                <w:sz w:val="18"/>
                <w:szCs w:val="18"/>
              </w:rPr>
              <w:t>financial reports</w:t>
            </w:r>
            <w:r w:rsidRPr="0020006C">
              <w:rPr>
                <w:sz w:val="18"/>
                <w:szCs w:val="18"/>
              </w:rPr>
              <w:t>.</w:t>
            </w:r>
          </w:p>
        </w:tc>
      </w:tr>
      <w:tr w:rsidR="002F5088" w:rsidRPr="00B667AF" w14:paraId="4A2C8FC3" w14:textId="77777777" w:rsidTr="0020006C">
        <w:trPr>
          <w:trHeight w:val="525"/>
        </w:trPr>
        <w:tc>
          <w:tcPr>
            <w:tcW w:w="571" w:type="pct"/>
            <w:shd w:val="clear" w:color="auto" w:fill="E5DFEC" w:themeFill="accent4" w:themeFillTint="33"/>
            <w:vAlign w:val="center"/>
          </w:tcPr>
          <w:p w14:paraId="53149C05" w14:textId="77777777" w:rsidR="002F5088" w:rsidRPr="0020006C" w:rsidRDefault="002F5088" w:rsidP="0020006C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 w14:paraId="58B2408F" w14:textId="77777777" w:rsidR="002F5088" w:rsidRPr="0020006C" w:rsidRDefault="002F5088" w:rsidP="0020006C">
            <w:pPr>
              <w:spacing w:line="276" w:lineRule="auto"/>
              <w:rPr>
                <w:b/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t>Market Sensitive Decisions Committee</w:t>
            </w:r>
          </w:p>
        </w:tc>
        <w:tc>
          <w:tcPr>
            <w:tcW w:w="1832" w:type="pct"/>
            <w:vAlign w:val="center"/>
          </w:tcPr>
          <w:p w14:paraId="3006572B" w14:textId="77777777" w:rsidR="00FF6D61" w:rsidRDefault="002F5088" w:rsidP="00FF6D61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Existing </w:t>
            </w:r>
            <w:proofErr w:type="spellStart"/>
            <w:r w:rsidRPr="0020006C">
              <w:rPr>
                <w:sz w:val="18"/>
                <w:szCs w:val="18"/>
              </w:rPr>
              <w:t>Gavi</w:t>
            </w:r>
            <w:proofErr w:type="spellEnd"/>
            <w:r w:rsidRPr="0020006C">
              <w:rPr>
                <w:sz w:val="18"/>
                <w:szCs w:val="18"/>
              </w:rPr>
              <w:t xml:space="preserve"> committee, whose mandate </w:t>
            </w:r>
            <w:r w:rsidR="0020006C" w:rsidRPr="0020006C">
              <w:rPr>
                <w:sz w:val="18"/>
                <w:szCs w:val="18"/>
              </w:rPr>
              <w:t>covers all operations of</w:t>
            </w:r>
            <w:r w:rsidRPr="0020006C">
              <w:rPr>
                <w:sz w:val="18"/>
                <w:szCs w:val="18"/>
              </w:rPr>
              <w:t xml:space="preserve"> the </w:t>
            </w:r>
            <w:proofErr w:type="spellStart"/>
            <w:r w:rsidRPr="0020006C">
              <w:rPr>
                <w:sz w:val="18"/>
                <w:szCs w:val="18"/>
              </w:rPr>
              <w:t>Gavi</w:t>
            </w:r>
            <w:proofErr w:type="spellEnd"/>
            <w:r w:rsidRPr="0020006C">
              <w:rPr>
                <w:sz w:val="18"/>
                <w:szCs w:val="18"/>
              </w:rPr>
              <w:t xml:space="preserve"> Alliance including the COVAX Facility. </w:t>
            </w:r>
            <w:r w:rsidRPr="0020006C">
              <w:rPr>
                <w:sz w:val="18"/>
                <w:szCs w:val="18"/>
              </w:rPr>
              <w:lastRenderedPageBreak/>
              <w:t>Three additional members will be appointed to represent the SC</w:t>
            </w:r>
            <w:r w:rsidR="00F67683">
              <w:rPr>
                <w:sz w:val="18"/>
                <w:szCs w:val="18"/>
              </w:rPr>
              <w:t xml:space="preserve">. </w:t>
            </w:r>
          </w:p>
          <w:p w14:paraId="4963987F" w14:textId="2D45A02C" w:rsidR="002F5088" w:rsidRPr="0020006C" w:rsidRDefault="00F67683" w:rsidP="00F440C4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F67683">
              <w:rPr>
                <w:sz w:val="18"/>
                <w:szCs w:val="18"/>
              </w:rPr>
              <w:t>Self-financing participants are encouraged to respect the need for diverse representation when considering standing for election to Market Sensitive Decisions Committee</w:t>
            </w:r>
            <w:r w:rsidR="002F5088" w:rsidRPr="0020006C">
              <w:rPr>
                <w:sz w:val="18"/>
                <w:szCs w:val="18"/>
              </w:rPr>
              <w:t>.</w:t>
            </w:r>
            <w:r w:rsidR="002B59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3" w:type="pct"/>
            <w:vAlign w:val="center"/>
          </w:tcPr>
          <w:p w14:paraId="0CDE2538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lastRenderedPageBreak/>
              <w:t xml:space="preserve">Reviews and approve business terms of proposed </w:t>
            </w:r>
            <w:r w:rsidRPr="0020006C">
              <w:rPr>
                <w:b/>
                <w:sz w:val="18"/>
                <w:szCs w:val="18"/>
              </w:rPr>
              <w:t>agreements with manufacturers</w:t>
            </w:r>
            <w:r w:rsidRPr="0020006C">
              <w:rPr>
                <w:sz w:val="18"/>
                <w:szCs w:val="18"/>
              </w:rPr>
              <w:t xml:space="preserve">. </w:t>
            </w:r>
          </w:p>
          <w:p w14:paraId="41468A18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lastRenderedPageBreak/>
              <w:t>SC representatives to the MSDC provide input</w:t>
            </w:r>
            <w:r w:rsidRPr="0020006C">
              <w:rPr>
                <w:sz w:val="18"/>
                <w:szCs w:val="18"/>
              </w:rPr>
              <w:t xml:space="preserve"> into review of contracts with manufacturers.</w:t>
            </w:r>
          </w:p>
        </w:tc>
      </w:tr>
      <w:tr w:rsidR="002F5088" w:rsidRPr="00FB27D8" w14:paraId="7FFF9031" w14:textId="77777777" w:rsidTr="0020006C">
        <w:trPr>
          <w:trHeight w:val="525"/>
        </w:trPr>
        <w:tc>
          <w:tcPr>
            <w:tcW w:w="571" w:type="pct"/>
            <w:vMerge w:val="restart"/>
            <w:shd w:val="clear" w:color="auto" w:fill="DAEEF3" w:themeFill="accent5" w:themeFillTint="33"/>
            <w:vAlign w:val="center"/>
          </w:tcPr>
          <w:p w14:paraId="2A940BE6" w14:textId="77777777" w:rsidR="002F5088" w:rsidRPr="0020006C" w:rsidRDefault="002F5088" w:rsidP="0020006C">
            <w:pPr>
              <w:spacing w:line="276" w:lineRule="auto"/>
              <w:rPr>
                <w:i/>
                <w:sz w:val="18"/>
                <w:szCs w:val="18"/>
              </w:rPr>
            </w:pPr>
            <w:r w:rsidRPr="0020006C">
              <w:rPr>
                <w:i/>
                <w:sz w:val="18"/>
                <w:szCs w:val="18"/>
              </w:rPr>
              <w:lastRenderedPageBreak/>
              <w:t>Advisory</w:t>
            </w:r>
          </w:p>
        </w:tc>
        <w:tc>
          <w:tcPr>
            <w:tcW w:w="764" w:type="pct"/>
            <w:vAlign w:val="center"/>
          </w:tcPr>
          <w:p w14:paraId="0C994B27" w14:textId="77777777" w:rsidR="002F5088" w:rsidRPr="0020006C" w:rsidRDefault="002F5088" w:rsidP="0020006C">
            <w:pPr>
              <w:spacing w:line="276" w:lineRule="auto"/>
              <w:rPr>
                <w:b/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t>Independent Product Group</w:t>
            </w:r>
          </w:p>
        </w:tc>
        <w:tc>
          <w:tcPr>
            <w:tcW w:w="1832" w:type="pct"/>
            <w:vAlign w:val="center"/>
          </w:tcPr>
          <w:p w14:paraId="6FE4CD6A" w14:textId="77777777" w:rsidR="002F5088" w:rsidRPr="0020006C" w:rsidRDefault="002F5088" w:rsidP="00FF6D61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>Independent experts, with advice from WHO and CEPI.</w:t>
            </w:r>
          </w:p>
        </w:tc>
        <w:tc>
          <w:tcPr>
            <w:tcW w:w="1833" w:type="pct"/>
            <w:vAlign w:val="center"/>
          </w:tcPr>
          <w:p w14:paraId="37A948D4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Provides </w:t>
            </w:r>
            <w:r w:rsidRPr="0020006C">
              <w:rPr>
                <w:b/>
                <w:sz w:val="18"/>
                <w:szCs w:val="18"/>
              </w:rPr>
              <w:t>technical assessment of vaccine candidates</w:t>
            </w:r>
            <w:r w:rsidRPr="0020006C">
              <w:rPr>
                <w:sz w:val="18"/>
                <w:szCs w:val="18"/>
              </w:rPr>
              <w:t>, including: clinical trials analysis; regulatory approval pathways; vaccine manufacture considerations; vaccines distribution and administration considerations to the OCF.</w:t>
            </w:r>
          </w:p>
          <w:p w14:paraId="745BC774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Informs </w:t>
            </w:r>
            <w:r w:rsidRPr="001E3D59">
              <w:rPr>
                <w:b/>
                <w:sz w:val="18"/>
                <w:szCs w:val="18"/>
              </w:rPr>
              <w:t>vaccine portfolio management</w:t>
            </w:r>
            <w:r w:rsidRPr="0020006C">
              <w:rPr>
                <w:sz w:val="18"/>
                <w:szCs w:val="18"/>
              </w:rPr>
              <w:t xml:space="preserve"> and investment, and manage development and supply risks.</w:t>
            </w:r>
          </w:p>
        </w:tc>
      </w:tr>
      <w:tr w:rsidR="002F5088" w:rsidRPr="00B13B18" w14:paraId="575663E2" w14:textId="77777777" w:rsidTr="0020006C">
        <w:trPr>
          <w:trHeight w:val="525"/>
        </w:trPr>
        <w:tc>
          <w:tcPr>
            <w:tcW w:w="571" w:type="pct"/>
            <w:vMerge/>
            <w:shd w:val="clear" w:color="auto" w:fill="DAEEF3" w:themeFill="accent5" w:themeFillTint="33"/>
            <w:vAlign w:val="center"/>
          </w:tcPr>
          <w:p w14:paraId="0A4BAD1A" w14:textId="77777777" w:rsidR="002F5088" w:rsidRPr="0020006C" w:rsidRDefault="002F5088" w:rsidP="0020006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 w14:paraId="143C7752" w14:textId="77777777" w:rsidR="002F5088" w:rsidRPr="0020006C" w:rsidRDefault="002F5088" w:rsidP="0020006C">
            <w:pPr>
              <w:spacing w:line="276" w:lineRule="auto"/>
              <w:rPr>
                <w:b/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t>Product Reference Group</w:t>
            </w:r>
          </w:p>
        </w:tc>
        <w:tc>
          <w:tcPr>
            <w:tcW w:w="1832" w:type="pct"/>
            <w:vAlign w:val="center"/>
          </w:tcPr>
          <w:p w14:paraId="6EBA3318" w14:textId="77777777" w:rsidR="002F5088" w:rsidRPr="0020006C" w:rsidRDefault="002F5088" w:rsidP="00FF6D61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>Independent experts, supported by UNICEF SD.</w:t>
            </w:r>
          </w:p>
        </w:tc>
        <w:tc>
          <w:tcPr>
            <w:tcW w:w="1833" w:type="pct"/>
            <w:vAlign w:val="center"/>
          </w:tcPr>
          <w:p w14:paraId="7847034C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Provides advice on </w:t>
            </w:r>
            <w:r w:rsidRPr="0020006C">
              <w:rPr>
                <w:b/>
                <w:sz w:val="18"/>
                <w:szCs w:val="18"/>
              </w:rPr>
              <w:t>vaccine candidates’ commercial attributes</w:t>
            </w:r>
            <w:r w:rsidRPr="0020006C">
              <w:rPr>
                <w:sz w:val="18"/>
                <w:szCs w:val="18"/>
              </w:rPr>
              <w:t>, including price and timeline of supply to the OCF.</w:t>
            </w:r>
          </w:p>
        </w:tc>
      </w:tr>
      <w:tr w:rsidR="002F5088" w:rsidRPr="001F1224" w14:paraId="00614592" w14:textId="77777777" w:rsidTr="0020006C">
        <w:trPr>
          <w:trHeight w:val="525"/>
        </w:trPr>
        <w:tc>
          <w:tcPr>
            <w:tcW w:w="571" w:type="pct"/>
            <w:vMerge/>
            <w:shd w:val="clear" w:color="auto" w:fill="DAEEF3" w:themeFill="accent5" w:themeFillTint="33"/>
            <w:vAlign w:val="center"/>
          </w:tcPr>
          <w:p w14:paraId="2842B6E2" w14:textId="77777777" w:rsidR="002F5088" w:rsidRPr="0020006C" w:rsidRDefault="002F5088" w:rsidP="0020006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 w14:paraId="226ED784" w14:textId="77777777" w:rsidR="002F5088" w:rsidRPr="0020006C" w:rsidRDefault="002F5088" w:rsidP="0020006C">
            <w:pPr>
              <w:spacing w:line="276" w:lineRule="auto"/>
              <w:rPr>
                <w:b/>
                <w:sz w:val="18"/>
                <w:szCs w:val="18"/>
              </w:rPr>
            </w:pPr>
            <w:r w:rsidRPr="0020006C">
              <w:rPr>
                <w:b/>
                <w:sz w:val="18"/>
                <w:szCs w:val="18"/>
              </w:rPr>
              <w:t>Joint Allocation Task Force</w:t>
            </w:r>
          </w:p>
        </w:tc>
        <w:tc>
          <w:tcPr>
            <w:tcW w:w="1832" w:type="pct"/>
            <w:vAlign w:val="center"/>
          </w:tcPr>
          <w:p w14:paraId="114EAD83" w14:textId="77777777" w:rsidR="002F5088" w:rsidRPr="0020006C" w:rsidRDefault="002F5088" w:rsidP="00FF6D61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325" w:hanging="325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>Independent experts</w:t>
            </w:r>
            <w:r w:rsidR="001E3D59">
              <w:rPr>
                <w:sz w:val="18"/>
                <w:szCs w:val="18"/>
              </w:rPr>
              <w:t>, co-convened with the WHO</w:t>
            </w:r>
            <w:r w:rsidRPr="0020006C">
              <w:rPr>
                <w:sz w:val="18"/>
                <w:szCs w:val="18"/>
              </w:rPr>
              <w:t>, with advice from SAGE.</w:t>
            </w:r>
          </w:p>
        </w:tc>
        <w:tc>
          <w:tcPr>
            <w:tcW w:w="1833" w:type="pct"/>
            <w:vAlign w:val="center"/>
          </w:tcPr>
          <w:p w14:paraId="126323CE" w14:textId="77777777" w:rsidR="002F5088" w:rsidRPr="0020006C" w:rsidRDefault="002F5088" w:rsidP="0020006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0006C">
              <w:rPr>
                <w:sz w:val="18"/>
                <w:szCs w:val="18"/>
              </w:rPr>
              <w:t xml:space="preserve">Prepares </w:t>
            </w:r>
            <w:r w:rsidRPr="0020006C">
              <w:rPr>
                <w:b/>
                <w:sz w:val="18"/>
                <w:szCs w:val="18"/>
              </w:rPr>
              <w:t>allocation proposals</w:t>
            </w:r>
            <w:r w:rsidRPr="0020006C">
              <w:rPr>
                <w:sz w:val="18"/>
                <w:szCs w:val="18"/>
              </w:rPr>
              <w:t xml:space="preserve"> on the basis of technical, data-driven analysis, the WHO Allocation Framework, and in line with Terms and Conditions to the OCF.</w:t>
            </w:r>
          </w:p>
        </w:tc>
      </w:tr>
    </w:tbl>
    <w:p w14:paraId="1CFE2FBC" w14:textId="27F1AF8A" w:rsidR="00416A3D" w:rsidRDefault="00416A3D" w:rsidP="00416A3D"/>
    <w:sectPr w:rsidR="00416A3D" w:rsidSect="00A34F32">
      <w:pgSz w:w="16838" w:h="11906" w:orient="landscape"/>
      <w:pgMar w:top="1418" w:right="1701" w:bottom="1418" w:left="1701" w:header="397" w:footer="39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B5A2F" w16cex:dateUtc="2020-09-03T10:03:00Z"/>
  <w16cex:commentExtensible w16cex:durableId="22FB5A57" w16cex:dateUtc="2020-09-03T10:04:00Z"/>
  <w16cex:commentExtensible w16cex:durableId="22FB5C47" w16cex:dateUtc="2020-09-03T10:12:00Z"/>
  <w16cex:commentExtensible w16cex:durableId="22FB5B30" w16cex:dateUtc="2020-09-03T10:08:00Z"/>
  <w16cex:commentExtensible w16cex:durableId="22FB5B9A" w16cex:dateUtc="2020-09-03T10:10:00Z"/>
  <w16cex:commentExtensible w16cex:durableId="22FB5BB4" w16cex:dateUtc="2020-09-03T10:10:00Z"/>
  <w16cex:commentExtensible w16cex:durableId="22FB5CAB" w16cex:dateUtc="2020-09-03T10:14:00Z"/>
  <w16cex:commentExtensible w16cex:durableId="22FB5D6E" w16cex:dateUtc="2020-09-03T10:17:00Z"/>
  <w16cex:commentExtensible w16cex:durableId="22FB5D8F" w16cex:dateUtc="2020-09-03T10:18:00Z"/>
  <w16cex:commentExtensible w16cex:durableId="22FB5DA7" w16cex:dateUtc="2020-09-03T10:18:00Z"/>
  <w16cex:commentExtensible w16cex:durableId="22FB5E08" w16cex:dateUtc="2020-09-03T10:20:00Z"/>
  <w16cex:commentExtensible w16cex:durableId="22FB5E5C" w16cex:dateUtc="2020-09-03T1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D74CFE" w16cid:durableId="22FB5A2F"/>
  <w16cid:commentId w16cid:paraId="08CE3E87" w16cid:durableId="22FB5A57"/>
  <w16cid:commentId w16cid:paraId="050D6FA8" w16cid:durableId="22FB5C47"/>
  <w16cid:commentId w16cid:paraId="10318597" w16cid:durableId="22FBA81C"/>
  <w16cid:commentId w16cid:paraId="333E5551" w16cid:durableId="22FB5B30"/>
  <w16cid:commentId w16cid:paraId="7BDE44F4" w16cid:durableId="22FB5B9A"/>
  <w16cid:commentId w16cid:paraId="36FC8F1C" w16cid:durableId="22FB5BB4"/>
  <w16cid:commentId w16cid:paraId="6DC41AB8" w16cid:durableId="22FB5A08"/>
  <w16cid:commentId w16cid:paraId="6B9D7F26" w16cid:durableId="22FB5CAB"/>
  <w16cid:commentId w16cid:paraId="19ED6133" w16cid:durableId="22FBA8E2"/>
  <w16cid:commentId w16cid:paraId="757E6AFE" w16cid:durableId="22FBA8EF"/>
  <w16cid:commentId w16cid:paraId="12058AF6" w16cid:durableId="22FB5D6E"/>
  <w16cid:commentId w16cid:paraId="79B4E9C1" w16cid:durableId="22FB5D8F"/>
  <w16cid:commentId w16cid:paraId="206132D2" w16cid:durableId="22FB5DA7"/>
  <w16cid:commentId w16cid:paraId="31A7BB91" w16cid:durableId="22FB5E08"/>
  <w16cid:commentId w16cid:paraId="499A270C" w16cid:durableId="22FB5E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C098E" w14:textId="77777777" w:rsidR="004E3FF4" w:rsidRDefault="004E3FF4" w:rsidP="00023335">
      <w:pPr>
        <w:spacing w:line="240" w:lineRule="auto"/>
      </w:pPr>
      <w:r>
        <w:separator/>
      </w:r>
    </w:p>
  </w:endnote>
  <w:endnote w:type="continuationSeparator" w:id="0">
    <w:p w14:paraId="5E515660" w14:textId="77777777" w:rsidR="004E3FF4" w:rsidRDefault="004E3FF4" w:rsidP="00023335">
      <w:pPr>
        <w:spacing w:line="240" w:lineRule="auto"/>
      </w:pPr>
      <w:r>
        <w:continuationSeparator/>
      </w:r>
    </w:p>
  </w:endnote>
  <w:endnote w:type="continuationNotice" w:id="1">
    <w:p w14:paraId="461E2FD2" w14:textId="77777777" w:rsidR="004E3FF4" w:rsidRDefault="004E3F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covering_classification_footer2" w:displacedByCustomXml="next"/>
  <w:bookmarkEnd w:id="0" w:displacedByCustomXml="next"/>
  <w:sdt>
    <w:sdtPr>
      <w:id w:val="-1463338477"/>
      <w:docPartObj>
        <w:docPartGallery w:val="Page Numbers (Bottom of Page)"/>
        <w:docPartUnique/>
      </w:docPartObj>
    </w:sdtPr>
    <w:sdtEndPr/>
    <w:sdtContent>
      <w:sdt>
        <w:sdtPr>
          <w:id w:val="-1894419772"/>
          <w:docPartObj>
            <w:docPartGallery w:val="Page Numbers (Top of Page)"/>
            <w:docPartUnique/>
          </w:docPartObj>
        </w:sdtPr>
        <w:sdtEndPr/>
        <w:sdtContent>
          <w:p w14:paraId="7680EBDD" w14:textId="6E32B00B" w:rsidR="00416A3D" w:rsidRDefault="00416A3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5F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5F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0504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3A4B1B" w14:textId="6E6E8FD2" w:rsidR="00416A3D" w:rsidRDefault="00416A3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5F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5F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C1359" w14:textId="77777777" w:rsidR="004E3FF4" w:rsidRDefault="004E3FF4" w:rsidP="00023335">
      <w:pPr>
        <w:spacing w:line="240" w:lineRule="auto"/>
      </w:pPr>
      <w:r>
        <w:separator/>
      </w:r>
    </w:p>
  </w:footnote>
  <w:footnote w:type="continuationSeparator" w:id="0">
    <w:p w14:paraId="52038BB2" w14:textId="77777777" w:rsidR="004E3FF4" w:rsidRDefault="004E3FF4" w:rsidP="00023335">
      <w:pPr>
        <w:spacing w:line="240" w:lineRule="auto"/>
      </w:pPr>
      <w:r>
        <w:continuationSeparator/>
      </w:r>
    </w:p>
  </w:footnote>
  <w:footnote w:type="continuationNotice" w:id="1">
    <w:p w14:paraId="0F3F8699" w14:textId="77777777" w:rsidR="004E3FF4" w:rsidRDefault="004E3FF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AE2BA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AA7BF7"/>
    <w:multiLevelType w:val="hybridMultilevel"/>
    <w:tmpl w:val="3466BCDA"/>
    <w:lvl w:ilvl="0" w:tplc="4CBEABC4">
      <w:start w:val="1"/>
      <w:numFmt w:val="bullet"/>
      <w:pStyle w:val="Bulletpointsindent2MFAT"/>
      <w:lvlText w:val=""/>
      <w:lvlJc w:val="left"/>
      <w:pPr>
        <w:ind w:left="1494" w:hanging="360"/>
      </w:pPr>
      <w:rPr>
        <w:rFonts w:ascii="Symbol" w:hAnsi="Symbol" w:hint="default"/>
        <w:b w:val="0"/>
        <w:i w:val="0"/>
        <w:color w:val="000000" w:themeColor="text1"/>
        <w:sz w:val="20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D7976"/>
    <w:multiLevelType w:val="hybridMultilevel"/>
    <w:tmpl w:val="F11A35BE"/>
    <w:lvl w:ilvl="0" w:tplc="0C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0A615606"/>
    <w:multiLevelType w:val="hybridMultilevel"/>
    <w:tmpl w:val="C1D6A1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D64A6"/>
    <w:multiLevelType w:val="hybridMultilevel"/>
    <w:tmpl w:val="4FACD664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67FE"/>
    <w:multiLevelType w:val="hybridMultilevel"/>
    <w:tmpl w:val="A01024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804036"/>
    <w:multiLevelType w:val="hybridMultilevel"/>
    <w:tmpl w:val="EF6C80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91250E"/>
    <w:multiLevelType w:val="hybridMultilevel"/>
    <w:tmpl w:val="4E046652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26143D"/>
    <w:multiLevelType w:val="hybridMultilevel"/>
    <w:tmpl w:val="3DDA42E4"/>
    <w:lvl w:ilvl="0" w:tplc="A26239F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574EB"/>
    <w:multiLevelType w:val="multilevel"/>
    <w:tmpl w:val="B44AE9C0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Restart w:val="0"/>
      <w:lvlText w:val="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33F20BC4"/>
    <w:multiLevelType w:val="hybridMultilevel"/>
    <w:tmpl w:val="020E35D4"/>
    <w:lvl w:ilvl="0" w:tplc="1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61A4436"/>
    <w:multiLevelType w:val="hybridMultilevel"/>
    <w:tmpl w:val="28CED2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61DE8"/>
    <w:multiLevelType w:val="hybridMultilevel"/>
    <w:tmpl w:val="262CC6F4"/>
    <w:lvl w:ilvl="0" w:tplc="1B2E0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661D7"/>
    <w:multiLevelType w:val="hybridMultilevel"/>
    <w:tmpl w:val="60D40B6C"/>
    <w:lvl w:ilvl="0" w:tplc="F796E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644DF"/>
    <w:multiLevelType w:val="hybridMultilevel"/>
    <w:tmpl w:val="03AC1BFA"/>
    <w:lvl w:ilvl="0" w:tplc="0C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46D06AC4"/>
    <w:multiLevelType w:val="multilevel"/>
    <w:tmpl w:val="23CA590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47444EF9"/>
    <w:multiLevelType w:val="hybridMultilevel"/>
    <w:tmpl w:val="F216E60A"/>
    <w:lvl w:ilvl="0" w:tplc="EC46FDD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999999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B63E7"/>
    <w:multiLevelType w:val="hybridMultilevel"/>
    <w:tmpl w:val="6C264AE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E1BEC"/>
    <w:multiLevelType w:val="hybridMultilevel"/>
    <w:tmpl w:val="6C8CB9FE"/>
    <w:lvl w:ilvl="0" w:tplc="CEE85A14">
      <w:start w:val="1"/>
      <w:numFmt w:val="bullet"/>
      <w:pStyle w:val="BulletpointsindentMFA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999999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A13F0"/>
    <w:multiLevelType w:val="hybridMultilevel"/>
    <w:tmpl w:val="F3500A44"/>
    <w:lvl w:ilvl="0" w:tplc="0C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51A32975"/>
    <w:multiLevelType w:val="hybridMultilevel"/>
    <w:tmpl w:val="4E046652"/>
    <w:lvl w:ilvl="0" w:tplc="1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2D216BE"/>
    <w:multiLevelType w:val="hybridMultilevel"/>
    <w:tmpl w:val="81FE610E"/>
    <w:lvl w:ilvl="0" w:tplc="0C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59810073"/>
    <w:multiLevelType w:val="hybridMultilevel"/>
    <w:tmpl w:val="F6CEE1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3116"/>
    <w:multiLevelType w:val="multilevel"/>
    <w:tmpl w:val="434C1B90"/>
    <w:lvl w:ilvl="0">
      <w:start w:val="1"/>
      <w:numFmt w:val="bullet"/>
      <w:pStyle w:val="BulletPoints2MFA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333333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1644"/>
        </w:tabs>
        <w:ind w:left="164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211"/>
        </w:tabs>
        <w:ind w:left="2211" w:hanging="567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356"/>
        </w:tabs>
        <w:ind w:left="8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76"/>
        </w:tabs>
        <w:ind w:left="9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796"/>
        </w:tabs>
        <w:ind w:left="9796" w:hanging="360"/>
      </w:pPr>
      <w:rPr>
        <w:rFonts w:ascii="Wingdings" w:hAnsi="Wingdings" w:hint="default"/>
      </w:rPr>
    </w:lvl>
  </w:abstractNum>
  <w:abstractNum w:abstractNumId="24" w15:restartNumberingAfterBreak="0">
    <w:nsid w:val="5D610AFF"/>
    <w:multiLevelType w:val="hybridMultilevel"/>
    <w:tmpl w:val="2AAC8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142BB"/>
    <w:multiLevelType w:val="hybridMultilevel"/>
    <w:tmpl w:val="FAECCEB4"/>
    <w:lvl w:ilvl="0" w:tplc="1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F6061"/>
    <w:multiLevelType w:val="hybridMultilevel"/>
    <w:tmpl w:val="194852F6"/>
    <w:lvl w:ilvl="0" w:tplc="0C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7" w15:restartNumberingAfterBreak="0">
    <w:nsid w:val="6EF87B0D"/>
    <w:multiLevelType w:val="hybridMultilevel"/>
    <w:tmpl w:val="350443C8"/>
    <w:lvl w:ilvl="0" w:tplc="0C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8" w15:restartNumberingAfterBreak="0">
    <w:nsid w:val="73345663"/>
    <w:multiLevelType w:val="hybridMultilevel"/>
    <w:tmpl w:val="C046B42E"/>
    <w:lvl w:ilvl="0" w:tplc="100C0011">
      <w:start w:val="1"/>
      <w:numFmt w:val="decimal"/>
      <w:lvlText w:val="%1)"/>
      <w:lvlJc w:val="left"/>
      <w:pPr>
        <w:ind w:left="1080" w:hanging="360"/>
      </w:pPr>
    </w:lvl>
    <w:lvl w:ilvl="1" w:tplc="100C0019">
      <w:start w:val="1"/>
      <w:numFmt w:val="lowerLetter"/>
      <w:lvlText w:val="%2."/>
      <w:lvlJc w:val="left"/>
      <w:pPr>
        <w:ind w:left="1800" w:hanging="360"/>
      </w:pPr>
    </w:lvl>
    <w:lvl w:ilvl="2" w:tplc="100C001B">
      <w:start w:val="1"/>
      <w:numFmt w:val="lowerRoman"/>
      <w:lvlText w:val="%3."/>
      <w:lvlJc w:val="right"/>
      <w:pPr>
        <w:ind w:left="2520" w:hanging="180"/>
      </w:pPr>
    </w:lvl>
    <w:lvl w:ilvl="3" w:tplc="100C000F">
      <w:start w:val="1"/>
      <w:numFmt w:val="decimal"/>
      <w:lvlText w:val="%4."/>
      <w:lvlJc w:val="left"/>
      <w:pPr>
        <w:ind w:left="3240" w:hanging="360"/>
      </w:pPr>
    </w:lvl>
    <w:lvl w:ilvl="4" w:tplc="100C0019">
      <w:start w:val="1"/>
      <w:numFmt w:val="lowerLetter"/>
      <w:lvlText w:val="%5."/>
      <w:lvlJc w:val="left"/>
      <w:pPr>
        <w:ind w:left="3960" w:hanging="360"/>
      </w:pPr>
    </w:lvl>
    <w:lvl w:ilvl="5" w:tplc="100C001B">
      <w:start w:val="1"/>
      <w:numFmt w:val="lowerRoman"/>
      <w:lvlText w:val="%6."/>
      <w:lvlJc w:val="right"/>
      <w:pPr>
        <w:ind w:left="4680" w:hanging="180"/>
      </w:pPr>
    </w:lvl>
    <w:lvl w:ilvl="6" w:tplc="100C000F">
      <w:start w:val="1"/>
      <w:numFmt w:val="decimal"/>
      <w:lvlText w:val="%7."/>
      <w:lvlJc w:val="left"/>
      <w:pPr>
        <w:ind w:left="5400" w:hanging="360"/>
      </w:pPr>
    </w:lvl>
    <w:lvl w:ilvl="7" w:tplc="100C0019">
      <w:start w:val="1"/>
      <w:numFmt w:val="lowerLetter"/>
      <w:lvlText w:val="%8."/>
      <w:lvlJc w:val="left"/>
      <w:pPr>
        <w:ind w:left="6120" w:hanging="360"/>
      </w:pPr>
    </w:lvl>
    <w:lvl w:ilvl="8" w:tplc="100C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DD0E0F"/>
    <w:multiLevelType w:val="hybridMultilevel"/>
    <w:tmpl w:val="142E6AF2"/>
    <w:lvl w:ilvl="0" w:tplc="0C090001">
      <w:start w:val="1"/>
      <w:numFmt w:val="bullet"/>
      <w:lvlText w:val=""/>
      <w:lvlJc w:val="left"/>
      <w:pPr>
        <w:ind w:left="520" w:hanging="40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30" w15:restartNumberingAfterBreak="0">
    <w:nsid w:val="7FCD28E3"/>
    <w:multiLevelType w:val="hybridMultilevel"/>
    <w:tmpl w:val="4198F2E4"/>
    <w:lvl w:ilvl="0" w:tplc="CB1A5D7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5"/>
  </w:num>
  <w:num w:numId="5">
    <w:abstractNumId w:val="23"/>
  </w:num>
  <w:num w:numId="6">
    <w:abstractNumId w:val="18"/>
  </w:num>
  <w:num w:numId="7">
    <w:abstractNumId w:val="1"/>
  </w:num>
  <w:num w:numId="8">
    <w:abstractNumId w:val="12"/>
  </w:num>
  <w:num w:numId="9">
    <w:abstractNumId w:val="25"/>
  </w:num>
  <w:num w:numId="10">
    <w:abstractNumId w:val="4"/>
  </w:num>
  <w:num w:numId="11">
    <w:abstractNumId w:val="24"/>
  </w:num>
  <w:num w:numId="12">
    <w:abstractNumId w:val="17"/>
  </w:num>
  <w:num w:numId="13">
    <w:abstractNumId w:val="11"/>
  </w:num>
  <w:num w:numId="14">
    <w:abstractNumId w:val="10"/>
  </w:num>
  <w:num w:numId="15">
    <w:abstractNumId w:val="13"/>
  </w:num>
  <w:num w:numId="16">
    <w:abstractNumId w:val="20"/>
  </w:num>
  <w:num w:numId="17">
    <w:abstractNumId w:val="5"/>
  </w:num>
  <w:num w:numId="18">
    <w:abstractNumId w:val="22"/>
  </w:num>
  <w:num w:numId="19">
    <w:abstractNumId w:val="6"/>
  </w:num>
  <w:num w:numId="20">
    <w:abstractNumId w:val="8"/>
  </w:num>
  <w:num w:numId="21">
    <w:abstractNumId w:val="7"/>
  </w:num>
  <w:num w:numId="22">
    <w:abstractNumId w:val="3"/>
  </w:num>
  <w:num w:numId="23">
    <w:abstractNumId w:val="30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9"/>
  </w:num>
  <w:num w:numId="27">
    <w:abstractNumId w:val="26"/>
  </w:num>
  <w:num w:numId="28">
    <w:abstractNumId w:val="27"/>
  </w:num>
  <w:num w:numId="29">
    <w:abstractNumId w:val="21"/>
  </w:num>
  <w:num w:numId="30">
    <w:abstractNumId w:val="19"/>
  </w:num>
  <w:num w:numId="31">
    <w:abstractNumId w:val="14"/>
  </w:num>
  <w:num w:numId="3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BA"/>
    <w:rsid w:val="0000426B"/>
    <w:rsid w:val="0001155F"/>
    <w:rsid w:val="00014A66"/>
    <w:rsid w:val="00017EFC"/>
    <w:rsid w:val="00023335"/>
    <w:rsid w:val="000377C9"/>
    <w:rsid w:val="000455A9"/>
    <w:rsid w:val="0006626F"/>
    <w:rsid w:val="00071F86"/>
    <w:rsid w:val="000A3B90"/>
    <w:rsid w:val="000A5E7B"/>
    <w:rsid w:val="000D7BDD"/>
    <w:rsid w:val="000E5224"/>
    <w:rsid w:val="000E6687"/>
    <w:rsid w:val="000F3126"/>
    <w:rsid w:val="0010226B"/>
    <w:rsid w:val="00107A6E"/>
    <w:rsid w:val="00111A38"/>
    <w:rsid w:val="00120340"/>
    <w:rsid w:val="0012309F"/>
    <w:rsid w:val="00124F39"/>
    <w:rsid w:val="0014778E"/>
    <w:rsid w:val="00156211"/>
    <w:rsid w:val="001652D7"/>
    <w:rsid w:val="0016788B"/>
    <w:rsid w:val="00170167"/>
    <w:rsid w:val="00176BED"/>
    <w:rsid w:val="00176F25"/>
    <w:rsid w:val="00182A78"/>
    <w:rsid w:val="00183FFF"/>
    <w:rsid w:val="00191873"/>
    <w:rsid w:val="001A47BA"/>
    <w:rsid w:val="001B1F91"/>
    <w:rsid w:val="001B3B5A"/>
    <w:rsid w:val="001B61A6"/>
    <w:rsid w:val="001D109B"/>
    <w:rsid w:val="001E2F2E"/>
    <w:rsid w:val="001E32D3"/>
    <w:rsid w:val="001E3D59"/>
    <w:rsid w:val="001E638F"/>
    <w:rsid w:val="001E6D66"/>
    <w:rsid w:val="0020006C"/>
    <w:rsid w:val="00204B47"/>
    <w:rsid w:val="002144E8"/>
    <w:rsid w:val="002172BB"/>
    <w:rsid w:val="002173C7"/>
    <w:rsid w:val="0022331A"/>
    <w:rsid w:val="002240C0"/>
    <w:rsid w:val="00236A09"/>
    <w:rsid w:val="00246B88"/>
    <w:rsid w:val="00253356"/>
    <w:rsid w:val="00255554"/>
    <w:rsid w:val="00274109"/>
    <w:rsid w:val="00283F53"/>
    <w:rsid w:val="002856A5"/>
    <w:rsid w:val="00291DD9"/>
    <w:rsid w:val="00291F8E"/>
    <w:rsid w:val="002A5640"/>
    <w:rsid w:val="002A63B5"/>
    <w:rsid w:val="002B590A"/>
    <w:rsid w:val="002B6045"/>
    <w:rsid w:val="002D4843"/>
    <w:rsid w:val="002D5BF8"/>
    <w:rsid w:val="002E0714"/>
    <w:rsid w:val="002F4D59"/>
    <w:rsid w:val="002F5088"/>
    <w:rsid w:val="00303A38"/>
    <w:rsid w:val="00322EC9"/>
    <w:rsid w:val="00332E1B"/>
    <w:rsid w:val="003432B4"/>
    <w:rsid w:val="00372C00"/>
    <w:rsid w:val="003809E4"/>
    <w:rsid w:val="00386070"/>
    <w:rsid w:val="00393F55"/>
    <w:rsid w:val="003A78BD"/>
    <w:rsid w:val="003B15D4"/>
    <w:rsid w:val="003B1B7D"/>
    <w:rsid w:val="003C0995"/>
    <w:rsid w:val="003C0F30"/>
    <w:rsid w:val="003E5F24"/>
    <w:rsid w:val="003E6840"/>
    <w:rsid w:val="003F4A6D"/>
    <w:rsid w:val="003F5A77"/>
    <w:rsid w:val="004034EA"/>
    <w:rsid w:val="00405D81"/>
    <w:rsid w:val="00416A3D"/>
    <w:rsid w:val="00424B90"/>
    <w:rsid w:val="00426BED"/>
    <w:rsid w:val="0043625E"/>
    <w:rsid w:val="00463D2D"/>
    <w:rsid w:val="0046505A"/>
    <w:rsid w:val="004B6725"/>
    <w:rsid w:val="004C293C"/>
    <w:rsid w:val="004D3A18"/>
    <w:rsid w:val="004E3FF4"/>
    <w:rsid w:val="004F05DA"/>
    <w:rsid w:val="004F1F05"/>
    <w:rsid w:val="004F36F1"/>
    <w:rsid w:val="004F4871"/>
    <w:rsid w:val="0050523D"/>
    <w:rsid w:val="0050576D"/>
    <w:rsid w:val="00515590"/>
    <w:rsid w:val="0051582A"/>
    <w:rsid w:val="0055474D"/>
    <w:rsid w:val="005970FC"/>
    <w:rsid w:val="005A10E4"/>
    <w:rsid w:val="005B22A3"/>
    <w:rsid w:val="005D7212"/>
    <w:rsid w:val="005E5420"/>
    <w:rsid w:val="005E799F"/>
    <w:rsid w:val="005F099A"/>
    <w:rsid w:val="005F0BFA"/>
    <w:rsid w:val="005F1313"/>
    <w:rsid w:val="00604F44"/>
    <w:rsid w:val="006102EC"/>
    <w:rsid w:val="00612A81"/>
    <w:rsid w:val="00616D86"/>
    <w:rsid w:val="00631640"/>
    <w:rsid w:val="0063479F"/>
    <w:rsid w:val="0063585E"/>
    <w:rsid w:val="006467BF"/>
    <w:rsid w:val="006515F0"/>
    <w:rsid w:val="0066070D"/>
    <w:rsid w:val="006631EC"/>
    <w:rsid w:val="00670CC4"/>
    <w:rsid w:val="00680357"/>
    <w:rsid w:val="006812B6"/>
    <w:rsid w:val="006820CA"/>
    <w:rsid w:val="00685531"/>
    <w:rsid w:val="006A699C"/>
    <w:rsid w:val="006B64E0"/>
    <w:rsid w:val="006E3D50"/>
    <w:rsid w:val="00701B3E"/>
    <w:rsid w:val="007223E1"/>
    <w:rsid w:val="00722F5B"/>
    <w:rsid w:val="00732D05"/>
    <w:rsid w:val="007525BA"/>
    <w:rsid w:val="00755B02"/>
    <w:rsid w:val="00755FF5"/>
    <w:rsid w:val="00795E14"/>
    <w:rsid w:val="007B0D49"/>
    <w:rsid w:val="007D06E6"/>
    <w:rsid w:val="007D46CF"/>
    <w:rsid w:val="00801FC7"/>
    <w:rsid w:val="00803EF1"/>
    <w:rsid w:val="008070D2"/>
    <w:rsid w:val="008070ED"/>
    <w:rsid w:val="008134A5"/>
    <w:rsid w:val="00817350"/>
    <w:rsid w:val="00832846"/>
    <w:rsid w:val="00834E36"/>
    <w:rsid w:val="00845B2A"/>
    <w:rsid w:val="0084643B"/>
    <w:rsid w:val="00847F4D"/>
    <w:rsid w:val="008562BA"/>
    <w:rsid w:val="008664D6"/>
    <w:rsid w:val="008715F4"/>
    <w:rsid w:val="008831BC"/>
    <w:rsid w:val="0089749D"/>
    <w:rsid w:val="008A31F0"/>
    <w:rsid w:val="008B31DC"/>
    <w:rsid w:val="008B4D99"/>
    <w:rsid w:val="008C7AD0"/>
    <w:rsid w:val="008D17C5"/>
    <w:rsid w:val="008D2C23"/>
    <w:rsid w:val="008E3558"/>
    <w:rsid w:val="008E5BFF"/>
    <w:rsid w:val="008E6888"/>
    <w:rsid w:val="008F00F7"/>
    <w:rsid w:val="008F5397"/>
    <w:rsid w:val="0091797D"/>
    <w:rsid w:val="00925DE7"/>
    <w:rsid w:val="00933727"/>
    <w:rsid w:val="00944327"/>
    <w:rsid w:val="009449AD"/>
    <w:rsid w:val="00953939"/>
    <w:rsid w:val="009602EC"/>
    <w:rsid w:val="00970DF5"/>
    <w:rsid w:val="0098172D"/>
    <w:rsid w:val="00984AC7"/>
    <w:rsid w:val="009A59AF"/>
    <w:rsid w:val="009B47CA"/>
    <w:rsid w:val="009C0569"/>
    <w:rsid w:val="009C5290"/>
    <w:rsid w:val="009C7F73"/>
    <w:rsid w:val="009D261D"/>
    <w:rsid w:val="009D40EF"/>
    <w:rsid w:val="009E0A48"/>
    <w:rsid w:val="009F098A"/>
    <w:rsid w:val="009F22DA"/>
    <w:rsid w:val="009F59CA"/>
    <w:rsid w:val="009F5D27"/>
    <w:rsid w:val="00A03803"/>
    <w:rsid w:val="00A03DCD"/>
    <w:rsid w:val="00A066A8"/>
    <w:rsid w:val="00A103F8"/>
    <w:rsid w:val="00A155BE"/>
    <w:rsid w:val="00A3193E"/>
    <w:rsid w:val="00A34F32"/>
    <w:rsid w:val="00A414E2"/>
    <w:rsid w:val="00A6178F"/>
    <w:rsid w:val="00A72674"/>
    <w:rsid w:val="00A852C2"/>
    <w:rsid w:val="00AA1730"/>
    <w:rsid w:val="00AB35EA"/>
    <w:rsid w:val="00AB7964"/>
    <w:rsid w:val="00AC1AF6"/>
    <w:rsid w:val="00AC4979"/>
    <w:rsid w:val="00AE0B06"/>
    <w:rsid w:val="00AE3157"/>
    <w:rsid w:val="00AF0994"/>
    <w:rsid w:val="00B04DAF"/>
    <w:rsid w:val="00B124E7"/>
    <w:rsid w:val="00B241A6"/>
    <w:rsid w:val="00B24477"/>
    <w:rsid w:val="00B30CE0"/>
    <w:rsid w:val="00B37FF1"/>
    <w:rsid w:val="00B532F0"/>
    <w:rsid w:val="00B61750"/>
    <w:rsid w:val="00B632EB"/>
    <w:rsid w:val="00B72B22"/>
    <w:rsid w:val="00B76065"/>
    <w:rsid w:val="00B84936"/>
    <w:rsid w:val="00BA5CA9"/>
    <w:rsid w:val="00BA6DE1"/>
    <w:rsid w:val="00BA73A0"/>
    <w:rsid w:val="00BC272C"/>
    <w:rsid w:val="00BD4EB0"/>
    <w:rsid w:val="00BE56B6"/>
    <w:rsid w:val="00BF07F4"/>
    <w:rsid w:val="00C056FE"/>
    <w:rsid w:val="00C078B1"/>
    <w:rsid w:val="00C10EC6"/>
    <w:rsid w:val="00C37F9E"/>
    <w:rsid w:val="00C413C9"/>
    <w:rsid w:val="00C43027"/>
    <w:rsid w:val="00C52200"/>
    <w:rsid w:val="00C6409A"/>
    <w:rsid w:val="00C91978"/>
    <w:rsid w:val="00C952FA"/>
    <w:rsid w:val="00CC5EFC"/>
    <w:rsid w:val="00CC6BB0"/>
    <w:rsid w:val="00CE1AA0"/>
    <w:rsid w:val="00CE4582"/>
    <w:rsid w:val="00CE4B94"/>
    <w:rsid w:val="00CF3BEF"/>
    <w:rsid w:val="00CF52D8"/>
    <w:rsid w:val="00D14044"/>
    <w:rsid w:val="00D15012"/>
    <w:rsid w:val="00D177F8"/>
    <w:rsid w:val="00D34540"/>
    <w:rsid w:val="00D56DDE"/>
    <w:rsid w:val="00D616A2"/>
    <w:rsid w:val="00D73703"/>
    <w:rsid w:val="00D76641"/>
    <w:rsid w:val="00D961D0"/>
    <w:rsid w:val="00D96C65"/>
    <w:rsid w:val="00DA2758"/>
    <w:rsid w:val="00DB5226"/>
    <w:rsid w:val="00DB74A3"/>
    <w:rsid w:val="00DC75B6"/>
    <w:rsid w:val="00E143A1"/>
    <w:rsid w:val="00E15BE7"/>
    <w:rsid w:val="00E31432"/>
    <w:rsid w:val="00E64B37"/>
    <w:rsid w:val="00E848DC"/>
    <w:rsid w:val="00EA04C8"/>
    <w:rsid w:val="00EB45CE"/>
    <w:rsid w:val="00ED2DC1"/>
    <w:rsid w:val="00ED371D"/>
    <w:rsid w:val="00ED6084"/>
    <w:rsid w:val="00EE047D"/>
    <w:rsid w:val="00EE2F90"/>
    <w:rsid w:val="00EF67D6"/>
    <w:rsid w:val="00F06D90"/>
    <w:rsid w:val="00F126E7"/>
    <w:rsid w:val="00F16854"/>
    <w:rsid w:val="00F2062C"/>
    <w:rsid w:val="00F440C4"/>
    <w:rsid w:val="00F5122E"/>
    <w:rsid w:val="00F636DE"/>
    <w:rsid w:val="00F67683"/>
    <w:rsid w:val="00F70E2E"/>
    <w:rsid w:val="00F93C3C"/>
    <w:rsid w:val="00FA23D2"/>
    <w:rsid w:val="00FA4112"/>
    <w:rsid w:val="00FB2851"/>
    <w:rsid w:val="00FB53F7"/>
    <w:rsid w:val="00FB5889"/>
    <w:rsid w:val="00FB6C45"/>
    <w:rsid w:val="00FC043A"/>
    <w:rsid w:val="00FE2730"/>
    <w:rsid w:val="00FE75E2"/>
    <w:rsid w:val="00FE79F7"/>
    <w:rsid w:val="00FE7D2F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D96E40"/>
  <w15:docId w15:val="{C40F415F-3D29-48CF-B8F9-5DC72406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49" w:unhideWhenUsed="1"/>
    <w:lsdException w:name="heading 5" w:semiHidden="1" w:uiPriority="49" w:unhideWhenUsed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4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9" w:unhideWhenUsed="1" w:qFormat="1"/>
    <w:lsdException w:name="List Number" w:semiHidden="1" w:uiPriority="4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iPriority="1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1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49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FAT"/>
    <w:qFormat/>
    <w:rsid w:val="00B37FF1"/>
    <w:pPr>
      <w:tabs>
        <w:tab w:val="left" w:pos="567"/>
      </w:tabs>
      <w:spacing w:line="288" w:lineRule="auto"/>
    </w:pPr>
    <w:rPr>
      <w:rFonts w:ascii="Verdana" w:hAnsi="Verdana"/>
      <w:szCs w:val="24"/>
    </w:rPr>
  </w:style>
  <w:style w:type="paragraph" w:styleId="Heading1">
    <w:name w:val="heading 1"/>
    <w:aliases w:val="Heading 1 MFAT"/>
    <w:basedOn w:val="Normal"/>
    <w:next w:val="Normal"/>
    <w:link w:val="Heading1Char"/>
    <w:uiPriority w:val="3"/>
    <w:qFormat/>
    <w:rsid w:val="00B37FF1"/>
    <w:pPr>
      <w:keepNext/>
      <w:pBdr>
        <w:bottom w:val="single" w:sz="4" w:space="1" w:color="808080"/>
      </w:pBdr>
      <w:spacing w:before="240" w:line="240" w:lineRule="auto"/>
      <w:outlineLvl w:val="0"/>
    </w:pPr>
    <w:rPr>
      <w:rFonts w:cs="Arial"/>
      <w:sz w:val="28"/>
      <w:szCs w:val="20"/>
    </w:rPr>
  </w:style>
  <w:style w:type="paragraph" w:styleId="Heading2">
    <w:name w:val="heading 2"/>
    <w:aliases w:val="Heading 2 MFAT"/>
    <w:basedOn w:val="Normal"/>
    <w:next w:val="Normal"/>
    <w:link w:val="Heading2Char"/>
    <w:uiPriority w:val="4"/>
    <w:qFormat/>
    <w:rsid w:val="00B37FF1"/>
    <w:pPr>
      <w:keepNext/>
      <w:spacing w:before="240" w:line="240" w:lineRule="auto"/>
      <w:outlineLvl w:val="1"/>
    </w:pPr>
    <w:rPr>
      <w:rFonts w:cs="Arial"/>
      <w:sz w:val="24"/>
      <w:szCs w:val="22"/>
    </w:rPr>
  </w:style>
  <w:style w:type="paragraph" w:styleId="Heading3">
    <w:name w:val="heading 3"/>
    <w:aliases w:val="Heading 3 MFAT"/>
    <w:basedOn w:val="Normal"/>
    <w:next w:val="Normal"/>
    <w:link w:val="Heading3Char"/>
    <w:uiPriority w:val="5"/>
    <w:qFormat/>
    <w:rsid w:val="00B37FF1"/>
    <w:pPr>
      <w:keepNext/>
      <w:spacing w:before="240"/>
      <w:outlineLvl w:val="2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link w:val="BulletPointsChar"/>
    <w:uiPriority w:val="6"/>
    <w:rsid w:val="008A31F0"/>
    <w:pPr>
      <w:numPr>
        <w:numId w:val="2"/>
      </w:num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Cs w:val="20"/>
    </w:rPr>
  </w:style>
  <w:style w:type="character" w:customStyle="1" w:styleId="BulletPointsChar">
    <w:name w:val="Bullet Points Char"/>
    <w:link w:val="BulletPoints"/>
    <w:uiPriority w:val="6"/>
    <w:rsid w:val="00F06D90"/>
    <w:rPr>
      <w:rFonts w:ascii="Verdana" w:hAnsi="Verdana"/>
    </w:rPr>
  </w:style>
  <w:style w:type="paragraph" w:customStyle="1" w:styleId="DocumentID">
    <w:name w:val="Document ID"/>
    <w:basedOn w:val="Normal"/>
    <w:uiPriority w:val="21"/>
    <w:rsid w:val="008A31F0"/>
    <w:rPr>
      <w:rFonts w:cs="Arial"/>
      <w:sz w:val="14"/>
    </w:rPr>
  </w:style>
  <w:style w:type="paragraph" w:customStyle="1" w:styleId="BulletPoints2">
    <w:name w:val="Bullet Points 2"/>
    <w:basedOn w:val="Normal"/>
    <w:uiPriority w:val="8"/>
    <w:rsid w:val="00631640"/>
    <w:pPr>
      <w:spacing w:before="60"/>
    </w:pPr>
  </w:style>
  <w:style w:type="paragraph" w:customStyle="1" w:styleId="Tableheading">
    <w:name w:val="Table heading"/>
    <w:basedOn w:val="Normal"/>
    <w:next w:val="Normal"/>
    <w:uiPriority w:val="15"/>
    <w:rsid w:val="008A31F0"/>
    <w:pPr>
      <w:spacing w:line="240" w:lineRule="auto"/>
    </w:pPr>
    <w:rPr>
      <w:caps/>
      <w:sz w:val="16"/>
    </w:rPr>
  </w:style>
  <w:style w:type="paragraph" w:customStyle="1" w:styleId="Tabletext">
    <w:name w:val="Table text"/>
    <w:basedOn w:val="Normal"/>
    <w:uiPriority w:val="16"/>
    <w:rsid w:val="008A31F0"/>
    <w:pPr>
      <w:spacing w:line="240" w:lineRule="auto"/>
    </w:pPr>
    <w:rPr>
      <w:sz w:val="18"/>
    </w:rPr>
  </w:style>
  <w:style w:type="paragraph" w:customStyle="1" w:styleId="PageNumbers">
    <w:name w:val="Page Numbers"/>
    <w:basedOn w:val="Normal"/>
    <w:uiPriority w:val="26"/>
    <w:rsid w:val="008A31F0"/>
    <w:pPr>
      <w:framePr w:wrap="around" w:vAnchor="text" w:hAnchor="page" w:xAlign="center" w:y="1"/>
      <w:spacing w:line="240" w:lineRule="auto"/>
      <w:jc w:val="center"/>
    </w:pPr>
    <w:rPr>
      <w:sz w:val="18"/>
    </w:rPr>
  </w:style>
  <w:style w:type="paragraph" w:customStyle="1" w:styleId="TOC1">
    <w:name w:val="TOC1"/>
    <w:basedOn w:val="Normal"/>
    <w:uiPriority w:val="17"/>
    <w:rsid w:val="008A31F0"/>
    <w:pPr>
      <w:spacing w:before="180" w:line="240" w:lineRule="auto"/>
    </w:pPr>
  </w:style>
  <w:style w:type="paragraph" w:customStyle="1" w:styleId="TOC2">
    <w:name w:val="TOC2"/>
    <w:basedOn w:val="Normal"/>
    <w:uiPriority w:val="18"/>
    <w:rsid w:val="008A31F0"/>
    <w:pPr>
      <w:spacing w:before="120" w:line="240" w:lineRule="auto"/>
      <w:ind w:left="284"/>
    </w:pPr>
    <w:rPr>
      <w:sz w:val="18"/>
    </w:rPr>
  </w:style>
  <w:style w:type="paragraph" w:customStyle="1" w:styleId="TOC3">
    <w:name w:val="TOC3"/>
    <w:basedOn w:val="Normal"/>
    <w:uiPriority w:val="19"/>
    <w:rsid w:val="008A31F0"/>
    <w:pPr>
      <w:spacing w:before="60" w:line="240" w:lineRule="auto"/>
      <w:ind w:left="567"/>
    </w:pPr>
    <w:rPr>
      <w:sz w:val="18"/>
    </w:rPr>
  </w:style>
  <w:style w:type="paragraph" w:customStyle="1" w:styleId="Footnote">
    <w:name w:val="Footnote"/>
    <w:basedOn w:val="Normal"/>
    <w:uiPriority w:val="23"/>
    <w:rsid w:val="008A31F0"/>
    <w:pPr>
      <w:spacing w:before="120"/>
    </w:pPr>
    <w:rPr>
      <w:sz w:val="16"/>
    </w:rPr>
  </w:style>
  <w:style w:type="paragraph" w:customStyle="1" w:styleId="SecurityClassification">
    <w:name w:val="Security Classification"/>
    <w:basedOn w:val="Normal"/>
    <w:next w:val="Normal"/>
    <w:uiPriority w:val="27"/>
    <w:rsid w:val="008A31F0"/>
    <w:pPr>
      <w:jc w:val="center"/>
    </w:pPr>
    <w:rPr>
      <w:rFonts w:cs="Arial"/>
      <w:bCs/>
      <w:caps/>
      <w:szCs w:val="20"/>
    </w:rPr>
  </w:style>
  <w:style w:type="paragraph" w:customStyle="1" w:styleId="Bulletpointsindent">
    <w:name w:val="Bullet points indent"/>
    <w:basedOn w:val="BulletPoints"/>
    <w:uiPriority w:val="7"/>
    <w:rsid w:val="00631640"/>
    <w:pPr>
      <w:numPr>
        <w:numId w:val="0"/>
      </w:numPr>
      <w:tabs>
        <w:tab w:val="clear" w:pos="567"/>
      </w:tabs>
    </w:pPr>
  </w:style>
  <w:style w:type="paragraph" w:customStyle="1" w:styleId="Number">
    <w:name w:val="Number"/>
    <w:link w:val="NumberChar"/>
    <w:uiPriority w:val="25"/>
    <w:rsid w:val="008A31F0"/>
    <w:pPr>
      <w:spacing w:before="120" w:after="120" w:line="288" w:lineRule="auto"/>
    </w:pPr>
    <w:rPr>
      <w:rFonts w:ascii="Verdana" w:hAnsi="Verdana"/>
    </w:rPr>
  </w:style>
  <w:style w:type="character" w:customStyle="1" w:styleId="NumberChar">
    <w:name w:val="Number Char"/>
    <w:link w:val="Number"/>
    <w:uiPriority w:val="25"/>
    <w:rsid w:val="00F06D90"/>
    <w:rPr>
      <w:rFonts w:ascii="Verdana" w:hAnsi="Verdana"/>
    </w:rPr>
  </w:style>
  <w:style w:type="character" w:customStyle="1" w:styleId="Heading1Char">
    <w:name w:val="Heading 1 Char"/>
    <w:aliases w:val="Heading 1 MFAT Char"/>
    <w:basedOn w:val="DefaultParagraphFont"/>
    <w:link w:val="Heading1"/>
    <w:uiPriority w:val="3"/>
    <w:rsid w:val="00B37FF1"/>
    <w:rPr>
      <w:rFonts w:ascii="Verdana" w:hAnsi="Verdana" w:cs="Arial"/>
      <w:sz w:val="28"/>
    </w:rPr>
  </w:style>
  <w:style w:type="character" w:customStyle="1" w:styleId="Heading2Char">
    <w:name w:val="Heading 2 Char"/>
    <w:aliases w:val="Heading 2 MFAT Char"/>
    <w:basedOn w:val="DefaultParagraphFont"/>
    <w:link w:val="Heading2"/>
    <w:uiPriority w:val="4"/>
    <w:rsid w:val="00B37FF1"/>
    <w:rPr>
      <w:rFonts w:ascii="Verdana" w:hAnsi="Verdana" w:cs="Arial"/>
      <w:sz w:val="24"/>
      <w:szCs w:val="22"/>
    </w:rPr>
  </w:style>
  <w:style w:type="character" w:customStyle="1" w:styleId="Heading3Char">
    <w:name w:val="Heading 3 Char"/>
    <w:aliases w:val="Heading 3 MFAT Char"/>
    <w:basedOn w:val="DefaultParagraphFont"/>
    <w:link w:val="Heading3"/>
    <w:uiPriority w:val="5"/>
    <w:rsid w:val="00B37FF1"/>
    <w:rPr>
      <w:rFonts w:ascii="Verdana" w:hAnsi="Verdana" w:cs="Arial"/>
      <w:b/>
      <w:sz w:val="18"/>
      <w:szCs w:val="24"/>
    </w:rPr>
  </w:style>
  <w:style w:type="paragraph" w:styleId="NormalIndent">
    <w:name w:val="Normal Indent"/>
    <w:aliases w:val="Normal Indent MFAT"/>
    <w:basedOn w:val="Normal"/>
    <w:uiPriority w:val="1"/>
    <w:qFormat/>
    <w:rsid w:val="00B37FF1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szCs w:val="20"/>
    </w:rPr>
  </w:style>
  <w:style w:type="paragraph" w:styleId="Header">
    <w:name w:val="header"/>
    <w:aliases w:val="Header MFAT"/>
    <w:basedOn w:val="Normal"/>
    <w:link w:val="HeaderChar"/>
    <w:uiPriority w:val="99"/>
    <w:qFormat/>
    <w:rsid w:val="00B37FF1"/>
    <w:rPr>
      <w:sz w:val="18"/>
    </w:rPr>
  </w:style>
  <w:style w:type="character" w:customStyle="1" w:styleId="HeaderChar">
    <w:name w:val="Header Char"/>
    <w:aliases w:val="Header MFAT Char"/>
    <w:basedOn w:val="DefaultParagraphFont"/>
    <w:link w:val="Header"/>
    <w:uiPriority w:val="99"/>
    <w:rsid w:val="00B37FF1"/>
    <w:rPr>
      <w:rFonts w:ascii="Verdana" w:hAnsi="Verdana"/>
      <w:sz w:val="18"/>
      <w:szCs w:val="24"/>
    </w:rPr>
  </w:style>
  <w:style w:type="paragraph" w:styleId="Footer">
    <w:name w:val="footer"/>
    <w:aliases w:val="Footer MFAT"/>
    <w:basedOn w:val="Normal"/>
    <w:link w:val="FooterChar"/>
    <w:uiPriority w:val="99"/>
    <w:qFormat/>
    <w:rsid w:val="00B37FF1"/>
    <w:rPr>
      <w:rFonts w:cs="Arial"/>
      <w:sz w:val="18"/>
      <w:szCs w:val="12"/>
    </w:rPr>
  </w:style>
  <w:style w:type="character" w:customStyle="1" w:styleId="FooterChar">
    <w:name w:val="Footer Char"/>
    <w:aliases w:val="Footer MFAT Char"/>
    <w:basedOn w:val="DefaultParagraphFont"/>
    <w:link w:val="Footer"/>
    <w:uiPriority w:val="99"/>
    <w:rsid w:val="00B37FF1"/>
    <w:rPr>
      <w:rFonts w:ascii="Verdana" w:hAnsi="Verdana" w:cs="Arial"/>
      <w:sz w:val="18"/>
      <w:szCs w:val="12"/>
    </w:rPr>
  </w:style>
  <w:style w:type="paragraph" w:styleId="Caption">
    <w:name w:val="caption"/>
    <w:aliases w:val="Caption MFAT"/>
    <w:basedOn w:val="Normal"/>
    <w:next w:val="Normal"/>
    <w:uiPriority w:val="20"/>
    <w:qFormat/>
    <w:rsid w:val="00B37FF1"/>
    <w:pPr>
      <w:spacing w:before="120"/>
    </w:pPr>
    <w:rPr>
      <w:b/>
      <w:bCs/>
      <w:sz w:val="16"/>
      <w:szCs w:val="18"/>
    </w:rPr>
  </w:style>
  <w:style w:type="paragraph" w:styleId="ListBullet">
    <w:name w:val="List Bullet"/>
    <w:aliases w:val="MFAT List Bullet"/>
    <w:basedOn w:val="Normal"/>
    <w:uiPriority w:val="49"/>
    <w:qFormat/>
    <w:rsid w:val="00B37FF1"/>
    <w:pPr>
      <w:numPr>
        <w:numId w:val="3"/>
      </w:numPr>
      <w:tabs>
        <w:tab w:val="clear" w:pos="567"/>
        <w:tab w:val="left" w:pos="1134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styleId="ListNumber">
    <w:name w:val="List Number"/>
    <w:aliases w:val="MFAT List Number"/>
    <w:basedOn w:val="ListNumber2"/>
    <w:uiPriority w:val="49"/>
    <w:qFormat/>
    <w:rsid w:val="00B37FF1"/>
    <w:pPr>
      <w:numPr>
        <w:numId w:val="4"/>
      </w:numPr>
      <w:overflowPunct w:val="0"/>
      <w:autoSpaceDE w:val="0"/>
      <w:autoSpaceDN w:val="0"/>
      <w:adjustRightInd w:val="0"/>
      <w:spacing w:before="240"/>
      <w:contextualSpacing w:val="0"/>
      <w:textAlignment w:val="baseline"/>
    </w:pPr>
    <w:rPr>
      <w:szCs w:val="20"/>
    </w:rPr>
  </w:style>
  <w:style w:type="paragraph" w:styleId="ListNumber2">
    <w:name w:val="List Number 2"/>
    <w:basedOn w:val="Normal"/>
    <w:uiPriority w:val="99"/>
    <w:semiHidden/>
    <w:unhideWhenUsed/>
    <w:rsid w:val="00255554"/>
    <w:pPr>
      <w:numPr>
        <w:numId w:val="1"/>
      </w:numPr>
      <w:contextualSpacing/>
    </w:pPr>
  </w:style>
  <w:style w:type="paragraph" w:styleId="Title">
    <w:name w:val="Title"/>
    <w:aliases w:val="Title MFAT"/>
    <w:basedOn w:val="Normal"/>
    <w:link w:val="TitleChar"/>
    <w:uiPriority w:val="2"/>
    <w:qFormat/>
    <w:rsid w:val="00B37FF1"/>
    <w:pPr>
      <w:spacing w:line="240" w:lineRule="auto"/>
    </w:pPr>
    <w:rPr>
      <w:rFonts w:cs="Arial"/>
      <w:bCs/>
      <w:noProof/>
      <w:sz w:val="32"/>
      <w:szCs w:val="32"/>
    </w:rPr>
  </w:style>
  <w:style w:type="character" w:customStyle="1" w:styleId="TitleChar">
    <w:name w:val="Title Char"/>
    <w:aliases w:val="Title MFAT Char"/>
    <w:basedOn w:val="DefaultParagraphFont"/>
    <w:link w:val="Title"/>
    <w:uiPriority w:val="2"/>
    <w:rsid w:val="00B37FF1"/>
    <w:rPr>
      <w:rFonts w:ascii="Verdana" w:hAnsi="Verdana" w:cs="Arial"/>
      <w:bCs/>
      <w:noProof/>
      <w:sz w:val="32"/>
      <w:szCs w:val="32"/>
    </w:rPr>
  </w:style>
  <w:style w:type="paragraph" w:styleId="BodyText">
    <w:name w:val="Body Text"/>
    <w:aliases w:val="Body Text MFAT"/>
    <w:basedOn w:val="Normal"/>
    <w:link w:val="BodyTextChar"/>
    <w:uiPriority w:val="10"/>
    <w:qFormat/>
    <w:rsid w:val="00B37FF1"/>
    <w:pPr>
      <w:spacing w:before="240"/>
      <w:jc w:val="both"/>
    </w:pPr>
  </w:style>
  <w:style w:type="character" w:customStyle="1" w:styleId="BodyTextChar">
    <w:name w:val="Body Text Char"/>
    <w:aliases w:val="Body Text MFAT Char"/>
    <w:basedOn w:val="DefaultParagraphFont"/>
    <w:link w:val="BodyText"/>
    <w:uiPriority w:val="10"/>
    <w:rsid w:val="00B37FF1"/>
    <w:rPr>
      <w:rFonts w:ascii="Verdana" w:hAnsi="Verdana"/>
      <w:szCs w:val="24"/>
    </w:rPr>
  </w:style>
  <w:style w:type="paragraph" w:styleId="BodyTextIndent">
    <w:name w:val="Body Text Indent"/>
    <w:aliases w:val="Body Text Indent MFAT"/>
    <w:basedOn w:val="Normal"/>
    <w:link w:val="BodyTextIndentChar"/>
    <w:uiPriority w:val="11"/>
    <w:qFormat/>
    <w:rsid w:val="00B37FF1"/>
    <w:pPr>
      <w:spacing w:before="240"/>
      <w:ind w:left="567"/>
    </w:pPr>
  </w:style>
  <w:style w:type="character" w:customStyle="1" w:styleId="BodyTextIndentChar">
    <w:name w:val="Body Text Indent Char"/>
    <w:aliases w:val="Body Text Indent MFAT Char"/>
    <w:basedOn w:val="DefaultParagraphFont"/>
    <w:link w:val="BodyTextIndent"/>
    <w:uiPriority w:val="11"/>
    <w:rsid w:val="00B37FF1"/>
    <w:rPr>
      <w:rFonts w:ascii="Verdana" w:hAnsi="Verdana"/>
      <w:szCs w:val="24"/>
    </w:rPr>
  </w:style>
  <w:style w:type="paragraph" w:styleId="BodyTextIndent2">
    <w:name w:val="Body Text Indent 2"/>
    <w:basedOn w:val="Normal"/>
    <w:link w:val="BodyTextIndent2Char"/>
    <w:uiPriority w:val="12"/>
    <w:qFormat/>
    <w:rsid w:val="00B37FF1"/>
    <w:pPr>
      <w:spacing w:before="240"/>
      <w:ind w:left="1134"/>
    </w:pPr>
  </w:style>
  <w:style w:type="character" w:customStyle="1" w:styleId="BodyTextIndent2Char">
    <w:name w:val="Body Text Indent 2 Char"/>
    <w:basedOn w:val="DefaultParagraphFont"/>
    <w:link w:val="BodyTextIndent2"/>
    <w:uiPriority w:val="12"/>
    <w:rsid w:val="00B37FF1"/>
    <w:rPr>
      <w:rFonts w:ascii="Verdana" w:hAnsi="Verdana"/>
      <w:szCs w:val="24"/>
    </w:rPr>
  </w:style>
  <w:style w:type="character" w:styleId="PageNumber">
    <w:name w:val="page number"/>
    <w:uiPriority w:val="49"/>
    <w:rsid w:val="00CE1AA0"/>
    <w:rPr>
      <w:rFonts w:ascii="Verdana" w:hAnsi="Verdana"/>
      <w:sz w:val="18"/>
      <w:lang w:val="en-US"/>
    </w:rPr>
  </w:style>
  <w:style w:type="paragraph" w:customStyle="1" w:styleId="Bulletpointsindent2">
    <w:name w:val="Bullet points indent 2"/>
    <w:basedOn w:val="BulletPoints2"/>
    <w:uiPriority w:val="9"/>
    <w:rsid w:val="00631640"/>
    <w:pPr>
      <w:jc w:val="both"/>
    </w:pPr>
  </w:style>
  <w:style w:type="table" w:customStyle="1" w:styleId="Table-Grid">
    <w:name w:val="Table-Grid"/>
    <w:basedOn w:val="TableNormal"/>
    <w:uiPriority w:val="99"/>
    <w:rsid w:val="005F1313"/>
    <w:tblPr>
      <w:tblBorders>
        <w:top w:val="single" w:sz="6" w:space="0" w:color="808080" w:themeColor="background1" w:themeShade="80"/>
        <w:bottom w:val="single" w:sz="6" w:space="0" w:color="808080" w:themeColor="background1" w:themeShade="80"/>
      </w:tblBorders>
      <w:tblCellMar>
        <w:top w:w="57" w:type="dxa"/>
        <w:left w:w="85" w:type="dxa"/>
        <w:bottom w:w="57" w:type="dxa"/>
        <w:right w:w="0" w:type="dxa"/>
      </w:tblCellMar>
    </w:tblPr>
    <w:tcPr>
      <w:shd w:val="clear" w:color="auto" w:fill="FFFFFF" w:themeFill="background1"/>
    </w:tcPr>
  </w:style>
  <w:style w:type="table" w:styleId="TableGrid">
    <w:name w:val="Table Grid"/>
    <w:basedOn w:val="TableNormal"/>
    <w:uiPriority w:val="59"/>
    <w:rsid w:val="0030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MFAT">
    <w:name w:val="Bullet Points MFAT"/>
    <w:basedOn w:val="Normal"/>
    <w:link w:val="BulletPointsMFATChar"/>
    <w:uiPriority w:val="6"/>
    <w:qFormat/>
    <w:rsid w:val="00B37FF1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character" w:customStyle="1" w:styleId="BulletPointsMFATChar">
    <w:name w:val="Bullet Points MFAT Char"/>
    <w:link w:val="BulletPointsMFAT"/>
    <w:uiPriority w:val="6"/>
    <w:rsid w:val="00B37FF1"/>
    <w:rPr>
      <w:rFonts w:ascii="Verdana" w:hAnsi="Verdana"/>
    </w:rPr>
  </w:style>
  <w:style w:type="paragraph" w:customStyle="1" w:styleId="DocumentIDMFAT">
    <w:name w:val="Document ID MFAT"/>
    <w:basedOn w:val="Normal"/>
    <w:uiPriority w:val="21"/>
    <w:qFormat/>
    <w:rsid w:val="00B37FF1"/>
    <w:rPr>
      <w:rFonts w:cs="Arial"/>
      <w:sz w:val="14"/>
    </w:rPr>
  </w:style>
  <w:style w:type="paragraph" w:customStyle="1" w:styleId="BulletPoints2MFAT">
    <w:name w:val="Bullet Points 2 MFAT"/>
    <w:basedOn w:val="Normal"/>
    <w:uiPriority w:val="8"/>
    <w:qFormat/>
    <w:rsid w:val="00B37FF1"/>
    <w:pPr>
      <w:numPr>
        <w:numId w:val="5"/>
      </w:numPr>
      <w:spacing w:before="60"/>
    </w:pPr>
  </w:style>
  <w:style w:type="paragraph" w:customStyle="1" w:styleId="TableheadingMFAT">
    <w:name w:val="Table heading MFAT"/>
    <w:basedOn w:val="Normal"/>
    <w:next w:val="Normal"/>
    <w:uiPriority w:val="15"/>
    <w:qFormat/>
    <w:rsid w:val="00B37FF1"/>
    <w:pPr>
      <w:spacing w:line="240" w:lineRule="auto"/>
    </w:pPr>
    <w:rPr>
      <w:caps/>
      <w:sz w:val="16"/>
    </w:rPr>
  </w:style>
  <w:style w:type="paragraph" w:customStyle="1" w:styleId="TabletextMFAT">
    <w:name w:val="Table text MFAT"/>
    <w:basedOn w:val="Normal"/>
    <w:uiPriority w:val="16"/>
    <w:qFormat/>
    <w:rsid w:val="00B37FF1"/>
    <w:pPr>
      <w:spacing w:line="240" w:lineRule="auto"/>
    </w:pPr>
    <w:rPr>
      <w:sz w:val="18"/>
    </w:rPr>
  </w:style>
  <w:style w:type="paragraph" w:customStyle="1" w:styleId="PageNumbersMFAT">
    <w:name w:val="Page Numbers MFAT"/>
    <w:basedOn w:val="Normal"/>
    <w:uiPriority w:val="26"/>
    <w:qFormat/>
    <w:rsid w:val="00B37FF1"/>
    <w:pPr>
      <w:framePr w:wrap="around" w:vAnchor="text" w:hAnchor="page" w:xAlign="center" w:y="1"/>
      <w:spacing w:line="240" w:lineRule="auto"/>
      <w:jc w:val="center"/>
    </w:pPr>
    <w:rPr>
      <w:sz w:val="18"/>
    </w:rPr>
  </w:style>
  <w:style w:type="paragraph" w:customStyle="1" w:styleId="TOC1MFAT">
    <w:name w:val="TOC1 MFAT"/>
    <w:basedOn w:val="Normal"/>
    <w:uiPriority w:val="17"/>
    <w:qFormat/>
    <w:rsid w:val="00B37FF1"/>
    <w:pPr>
      <w:spacing w:before="180" w:line="240" w:lineRule="auto"/>
    </w:pPr>
  </w:style>
  <w:style w:type="paragraph" w:customStyle="1" w:styleId="TOC2MFAT">
    <w:name w:val="TOC2 MFAT"/>
    <w:basedOn w:val="Normal"/>
    <w:uiPriority w:val="18"/>
    <w:qFormat/>
    <w:rsid w:val="00B37FF1"/>
    <w:pPr>
      <w:spacing w:before="120" w:line="240" w:lineRule="auto"/>
      <w:ind w:left="284"/>
    </w:pPr>
    <w:rPr>
      <w:sz w:val="18"/>
    </w:rPr>
  </w:style>
  <w:style w:type="paragraph" w:customStyle="1" w:styleId="TOC3MFAT">
    <w:name w:val="TOC3 MFAT"/>
    <w:basedOn w:val="Normal"/>
    <w:uiPriority w:val="19"/>
    <w:qFormat/>
    <w:rsid w:val="00B37FF1"/>
    <w:pPr>
      <w:spacing w:before="60" w:line="240" w:lineRule="auto"/>
      <w:ind w:left="567"/>
    </w:pPr>
    <w:rPr>
      <w:sz w:val="18"/>
    </w:rPr>
  </w:style>
  <w:style w:type="paragraph" w:customStyle="1" w:styleId="FootnoteMFAT">
    <w:name w:val="Footnote MFAT"/>
    <w:basedOn w:val="Normal"/>
    <w:uiPriority w:val="23"/>
    <w:qFormat/>
    <w:rsid w:val="00B37FF1"/>
    <w:pPr>
      <w:spacing w:before="120"/>
    </w:pPr>
    <w:rPr>
      <w:sz w:val="16"/>
    </w:rPr>
  </w:style>
  <w:style w:type="paragraph" w:customStyle="1" w:styleId="SecurityClassificationMFAT">
    <w:name w:val="Security Classification MFAT"/>
    <w:basedOn w:val="Normal"/>
    <w:next w:val="Normal"/>
    <w:uiPriority w:val="27"/>
    <w:qFormat/>
    <w:rsid w:val="00B37FF1"/>
    <w:pPr>
      <w:jc w:val="center"/>
    </w:pPr>
    <w:rPr>
      <w:rFonts w:cs="Arial"/>
      <w:bCs/>
      <w:caps/>
      <w:szCs w:val="20"/>
    </w:rPr>
  </w:style>
  <w:style w:type="paragraph" w:customStyle="1" w:styleId="BulletpointsindentMFAT">
    <w:name w:val="Bullet points indent MFAT"/>
    <w:basedOn w:val="BulletPointsMFAT"/>
    <w:uiPriority w:val="7"/>
    <w:qFormat/>
    <w:rsid w:val="00B37FF1"/>
    <w:pPr>
      <w:numPr>
        <w:numId w:val="6"/>
      </w:numPr>
    </w:pPr>
  </w:style>
  <w:style w:type="paragraph" w:customStyle="1" w:styleId="NumberMFAT">
    <w:name w:val="Number MFAT"/>
    <w:link w:val="NumberMFATChar"/>
    <w:uiPriority w:val="25"/>
    <w:qFormat/>
    <w:rsid w:val="00B37FF1"/>
    <w:pPr>
      <w:spacing w:before="120" w:after="120" w:line="288" w:lineRule="auto"/>
    </w:pPr>
    <w:rPr>
      <w:rFonts w:ascii="Verdana" w:hAnsi="Verdana"/>
    </w:rPr>
  </w:style>
  <w:style w:type="character" w:customStyle="1" w:styleId="NumberMFATChar">
    <w:name w:val="Number MFAT Char"/>
    <w:link w:val="NumberMFAT"/>
    <w:uiPriority w:val="25"/>
    <w:rsid w:val="00B37FF1"/>
    <w:rPr>
      <w:rFonts w:ascii="Verdana" w:hAnsi="Verdana"/>
    </w:rPr>
  </w:style>
  <w:style w:type="paragraph" w:customStyle="1" w:styleId="Bulletpointsindent2MFAT">
    <w:name w:val="Bullet points indent 2 MFAT"/>
    <w:basedOn w:val="BulletPoints2MFAT"/>
    <w:uiPriority w:val="9"/>
    <w:qFormat/>
    <w:rsid w:val="00B37FF1"/>
    <w:pPr>
      <w:numPr>
        <w:numId w:val="7"/>
      </w:numPr>
      <w:jc w:val="both"/>
    </w:pPr>
  </w:style>
  <w:style w:type="paragraph" w:styleId="ListParagraph">
    <w:name w:val="List Paragraph"/>
    <w:basedOn w:val="Normal"/>
    <w:uiPriority w:val="34"/>
    <w:qFormat/>
    <w:rsid w:val="008562BA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604F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2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20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200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200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2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0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D4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D49"/>
    <w:rPr>
      <w:rFonts w:ascii="Verdana" w:hAnsi="Verdana"/>
    </w:rPr>
  </w:style>
  <w:style w:type="character" w:styleId="FootnoteReference">
    <w:name w:val="footnote reference"/>
    <w:basedOn w:val="DefaultParagraphFont"/>
    <w:uiPriority w:val="99"/>
    <w:semiHidden/>
    <w:unhideWhenUsed/>
    <w:rsid w:val="007B0D49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056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56FE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C056FE"/>
    <w:rPr>
      <w:b/>
      <w:bCs/>
    </w:rPr>
  </w:style>
  <w:style w:type="paragraph" w:styleId="Revision">
    <w:name w:val="Revision"/>
    <w:hidden/>
    <w:uiPriority w:val="99"/>
    <w:semiHidden/>
    <w:rsid w:val="00925DE7"/>
    <w:rPr>
      <w:rFonts w:ascii="Verdana" w:hAnsi="Verdana"/>
      <w:szCs w:val="24"/>
    </w:rPr>
  </w:style>
  <w:style w:type="paragraph" w:customStyle="1" w:styleId="Default">
    <w:name w:val="Default"/>
    <w:rsid w:val="00E15B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AA1730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AA1730"/>
    <w:pPr>
      <w:tabs>
        <w:tab w:val="clear" w:pos="567"/>
      </w:tabs>
      <w:spacing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d8bdf464cb42f0a3c3d39d31c82072 xmlns="16324361-4247-446e-80b2-b0d09f29228d">
      <Terms xmlns="http://schemas.microsoft.com/office/infopath/2007/PartnerControls"/>
    </m7d8bdf464cb42f0a3c3d39d31c82072>
    <TaxCatchAll xmlns="16324361-4247-446e-80b2-b0d09f29228d">
      <Value>1</Value>
    </TaxCatchAll>
    <AuthorDivisionPost xmlns="16324361-4247-446e-80b2-b0d09f29228d" xsi:nil="true"/>
    <IconOverlay xmlns="http://schemas.microsoft.com/sharepoint/v4" xsi:nil="true"/>
    <l5baa22ceebd46ea8e3732e81be971e4 xmlns="16324361-4247-446e-80b2-b0d09f29228d">
      <Terms xmlns="http://schemas.microsoft.com/office/infopath/2007/PartnerControls"/>
    </l5baa22ceebd46ea8e3732e81be971e4>
    <IsCoveringDocument xmlns="16324361-4247-446e-80b2-b0d09f29228d">false</IsCoveringDocument>
    <a2ecf41d8355489e904c4f363828f1b7 xmlns="16324361-4247-446e-80b2-b0d09f29228d">
      <Terms xmlns="http://schemas.microsoft.com/office/infopath/2007/PartnerControls"/>
    </a2ecf41d8355489e904c4f363828f1b7>
    <RelatedDocuments xmlns="16324361-4247-446e-80b2-b0d09f29228d" xsi:nil="true"/>
    <o3a06977fe844c3db2132313dc460602 xmlns="16324361-4247-446e-80b2-b0d09f2922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738a72fd-0042-476f-991b-551c05ade48c</TermId>
        </TermInfo>
      </Terms>
    </o3a06977fe844c3db2132313dc460602>
    <_dlc_ExpireDateSaved xmlns="http://schemas.microsoft.com/sharepoint/v3" xsi:nil="true"/>
    <_dlc_ExpireDate xmlns="http://schemas.microsoft.com/sharepoint/v3">2022-03-22T04:26:43+00:00</_dlc_ExpireDate>
    <_dlc_DocId xmlns="16324361-4247-446e-80b2-b0d09f29228d">TEAM-178-535</_dlc_DocId>
    <_dlc_DocIdUrl xmlns="16324361-4247-446e-80b2-b0d09f29228d">
      <Url>http://o-wln-gdm/Functions/TeamManagement/Divisions/_layouts/15/DocIdRedir.aspx?ID=TEAM-178-535</Url>
      <Description>TEAM-178-535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lank Document" ma:contentTypeID="0x01010077AA9D1CFFA240DC80DAD99CA5F5CD00002DAE8431F8B6400CAA222602BDDA92B8002F13DE87859341489A05F0CC47084D24" ma:contentTypeVersion="14" ma:contentTypeDescription="Blank Document" ma:contentTypeScope="" ma:versionID="20986b5915c071ec943c467733864aca">
  <xsd:schema xmlns:xsd="http://www.w3.org/2001/XMLSchema" xmlns:xs="http://www.w3.org/2001/XMLSchema" xmlns:p="http://schemas.microsoft.com/office/2006/metadata/properties" xmlns:ns1="http://schemas.microsoft.com/sharepoint/v3" xmlns:ns2="16324361-4247-446e-80b2-b0d09f29228d" xmlns:ns4="http://schemas.microsoft.com/sharepoint/v4" xmlns:ns5="01441163-d544-4d48-98ed-6089e3907a31" targetNamespace="http://schemas.microsoft.com/office/2006/metadata/properties" ma:root="true" ma:fieldsID="756e700a7e347c63b52769fadb804b76" ns1:_="" ns2:_="" ns4:_="" ns5:_="">
    <xsd:import namespace="http://schemas.microsoft.com/sharepoint/v3"/>
    <xsd:import namespace="16324361-4247-446e-80b2-b0d09f29228d"/>
    <xsd:import namespace="http://schemas.microsoft.com/sharepoint/v4"/>
    <xsd:import namespace="01441163-d544-4d48-98ed-6089e3907a31"/>
    <xsd:element name="properties">
      <xsd:complexType>
        <xsd:sequence>
          <xsd:element name="documentManagement">
            <xsd:complexType>
              <xsd:all>
                <xsd:element ref="ns2:o3a06977fe844c3db2132313dc460602" minOccurs="0"/>
                <xsd:element ref="ns2:TaxCatchAll" minOccurs="0"/>
                <xsd:element ref="ns2:TaxCatchAllLabel" minOccurs="0"/>
                <xsd:element ref="ns2:a2ecf41d8355489e904c4f363828f1b7" minOccurs="0"/>
                <xsd:element ref="ns2:IsCoveringDocument" minOccurs="0"/>
                <xsd:element ref="ns2:m7d8bdf464cb42f0a3c3d39d31c82072" minOccurs="0"/>
                <xsd:element ref="ns2:AuthorDivisionPost" minOccurs="0"/>
                <xsd:element ref="ns2:l5baa22ceebd46ea8e3732e81be971e4" minOccurs="0"/>
                <xsd:element ref="ns2:RelatedDocuments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  <xsd:element ref="ns4:IconOverlay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4361-4247-446e-80b2-b0d09f29228d" elementFormDefault="qualified">
    <xsd:import namespace="http://schemas.microsoft.com/office/2006/documentManagement/types"/>
    <xsd:import namespace="http://schemas.microsoft.com/office/infopath/2007/PartnerControls"/>
    <xsd:element name="o3a06977fe844c3db2132313dc460602" ma:index="8" ma:taxonomy="true" ma:internalName="o3a06977fe844c3db2132313dc460602" ma:taxonomyFieldName="SecurityClassification" ma:displayName="Security Classification" ma:readOnly="false" ma:default="" ma:fieldId="{83a06977-fe84-4c3d-b213-2313dc460602}" ma:sspId="d40f951a-0e91-4979-b35b-8d7b343b6be0" ma:termSetId="3d3594da-daa1-466a-80e6-3315e73f53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724d4d3-4fdb-4ba9-89ae-b3a1c2cc46dc}" ma:internalName="TaxCatchAll" ma:showField="CatchAllData" ma:web="16324361-4247-446e-80b2-b0d09f292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724d4d3-4fdb-4ba9-89ae-b3a1c2cc46dc}" ma:internalName="TaxCatchAllLabel" ma:readOnly="true" ma:showField="CatchAllDataLabel" ma:web="16324361-4247-446e-80b2-b0d09f292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2ecf41d8355489e904c4f363828f1b7" ma:index="12" nillable="true" ma:taxonomy="true" ma:internalName="a2ecf41d8355489e904c4f363828f1b7" ma:taxonomyFieldName="SecurityCaveat" ma:displayName="Security Caveat" ma:fieldId="{a2ecf41d-8355-489e-904c-4f363828f1b7}" ma:taxonomyMulti="true" ma:sspId="d40f951a-0e91-4979-b35b-8d7b343b6be0" ma:termSetId="409c3a70-087d-40a9-afa0-b3994a4d50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CoveringDocument" ma:index="14" nillable="true" ma:displayName="Is Covering Document" ma:description="" ma:internalName="IsCoveringDocument">
      <xsd:simpleType>
        <xsd:restriction base="dms:Boolean"/>
      </xsd:simpleType>
    </xsd:element>
    <xsd:element name="m7d8bdf464cb42f0a3c3d39d31c82072" ma:index="15" nillable="true" ma:taxonomy="true" ma:internalName="m7d8bdf464cb42f0a3c3d39d31c82072" ma:taxonomyFieldName="CoveringClassification" ma:displayName="Covering Classification" ma:fieldId="{67d8bdf4-64cb-42f0-a3c3-d39d31c82072}" ma:sspId="d40f951a-0e91-4979-b35b-8d7b343b6be0" ma:termSetId="f06ce1cc-308f-4641-8c53-cc95e26232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uthorDivisionPost" ma:index="17" nillable="true" ma:displayName="Author Division/Post" ma:description="Division/Post of document author populated by workflow" ma:internalName="AuthorDivisionPost">
      <xsd:simpleType>
        <xsd:restriction base="dms:Text"/>
      </xsd:simpleType>
    </xsd:element>
    <xsd:element name="l5baa22ceebd46ea8e3732e81be971e4" ma:index="19" nillable="true" ma:taxonomy="true" ma:internalName="l5baa22ceebd46ea8e3732e81be971e4" ma:taxonomyFieldName="Topic" ma:displayName="Topic" ma:indexed="true" ma:default="" ma:fieldId="{55baa22c-eebd-46ea-8e37-32e81be971e4}" ma:sspId="d40f951a-0e91-4979-b35b-8d7b343b6be0" ma:termSetId="e997feb2-bf94-4497-95cf-98d6bf55707f" ma:anchorId="eb82e924-c021-4f95-8d8f-ec506aa162c1" ma:open="false" ma:isKeyword="false">
      <xsd:complexType>
        <xsd:sequence>
          <xsd:element ref="pc:Terms" minOccurs="0" maxOccurs="1"/>
        </xsd:sequence>
      </xsd:complexType>
    </xsd:element>
    <xsd:element name="RelatedDocuments" ma:index="21" nillable="true" ma:displayName="Related Documents" ma:description="" ma:internalName="RelatedDocuments">
      <xsd:simpleType>
        <xsd:restriction base="dms:Note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41163-d544-4d48-98ed-6089e3907a31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MFAT GDM Base Document</p:Name>
  <p:Description/>
  <p:Statement/>
  <p:PolicyItems>
    <p:PolicyItem featureId="Microsoft.Office.RecordsManagement.PolicyFeatures.Expiration" staticId="0x01010077AA9D1CFFA240DC80DAD99CA5F5CD00|-203593225" UniqueId="e62fe813-1c6a-4842-a1e7-3004001e2963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18</number>
                  <property>Modified</property>
                  <propertyId>28cf69c5-fa48-462a-b5cd-27b6f9d2bd5f</propertyId>
                  <period>months</period>
                </formula>
                <action type="workflow" id="1f590753-4626-4681-b147-bc008de33fb8"/>
              </data>
            </stages>
          </Schedule>
        </Schedules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68292-4747-43FC-9578-4D1B0A96602E}">
  <ds:schemaRefs>
    <ds:schemaRef ds:uri="http://purl.org/dc/terms/"/>
    <ds:schemaRef ds:uri="http://schemas.microsoft.com/sharepoint/v4"/>
    <ds:schemaRef ds:uri="16324361-4247-446e-80b2-b0d09f29228d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1441163-d544-4d48-98ed-6089e3907a31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74453A-6CD9-452B-9749-DA3078B2C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324361-4247-446e-80b2-b0d09f29228d"/>
    <ds:schemaRef ds:uri="http://schemas.microsoft.com/sharepoint/v4"/>
    <ds:schemaRef ds:uri="01441163-d544-4d48-98ed-6089e3907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2591E-A7F0-41A8-8B0E-9A076D528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70E56-AF27-4300-B9F7-D177202691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59C9896-F7DE-4DFF-B4F2-FE582116A76C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B5A7DAEB-E541-4B13-919F-F8E54885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200917 - Second Revised Non-paper - COVAX Facility Governance Arrangements - Comments incorporated - Marked-up</vt:lpstr>
    </vt:vector>
  </TitlesOfParts>
  <Company>Ministry of Foreign Affairs and Trade</Company>
  <LinksUpToDate>false</LinksUpToDate>
  <CharactersWithSpaces>17892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200917 - Second Revised Non-paper - COVAX Facility Governance Arrangements - FINAL</dc:title>
  <dc:creator>ROBINSON, Julia (NAD)</dc:creator>
  <dc:description/>
  <cp:lastModifiedBy>ROBINSON, Julia (CPCD)</cp:lastModifiedBy>
  <cp:revision>2</cp:revision>
  <cp:lastPrinted>2020-09-16T00:10:00Z</cp:lastPrinted>
  <dcterms:created xsi:type="dcterms:W3CDTF">2020-09-22T05:26:00Z</dcterms:created>
  <dcterms:modified xsi:type="dcterms:W3CDTF">2020-09-22T05:26:00Z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0x01010077AA9D1CFFA240DC80DAD99CA5F5CD00002DAE8431F8B6400CAA222602BDDA92B8002F13DE87859341489A05F0CC47084D24</vt:lpwstr>
  </property>
  <property fmtid="{D5CDD505-2E9C-101B-9397-08002B2CF9AE}" pid="3" name="CoveringClassification">
    <vt:lpwstr/>
  </property>
  <property fmtid="{D5CDD505-2E9C-101B-9397-08002B2CF9AE}" pid="4" name="Topic">
    <vt:lpwstr/>
  </property>
  <property fmtid="{D5CDD505-2E9C-101B-9397-08002B2CF9AE}" pid="5" name="SecurityClassification">
    <vt:lpwstr>1;#UNCLASSIFIED|738a72fd-0042-476f-991b-551c05ade48c</vt:lpwstr>
  </property>
  <property fmtid="{D5CDD505-2E9C-101B-9397-08002B2CF9AE}" pid="6" name="SecurityCaveat">
    <vt:lpwstr/>
  </property>
  <property fmtid="{D5CDD505-2E9C-101B-9397-08002B2CF9AE}" pid="7" name="_dlc_policyId">
    <vt:lpwstr>0x01010077AA9D1CFFA240DC80DAD99CA5F5CD00|-203593225</vt:lpwstr>
  </property>
  <property fmtid="{D5CDD505-2E9C-101B-9397-08002B2CF9AE}" pid="8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9" name="_dlc_DocIdItemGuid">
    <vt:lpwstr>c8172cd5-53b5-4067-8835-f3a8f629b031</vt:lpwstr>
  </property>
  <property fmtid="{D5CDD505-2E9C-101B-9397-08002B2CF9AE}" pid="10" name="RecordPoint_WorkflowType">
    <vt:lpwstr>ActiveSubmitStub</vt:lpwstr>
  </property>
  <property fmtid="{D5CDD505-2E9C-101B-9397-08002B2CF9AE}" pid="11" name="RecordPoint_ActiveItemUniqueId">
    <vt:lpwstr>{c8172cd5-53b5-4067-8835-f3a8f629b031}</vt:lpwstr>
  </property>
  <property fmtid="{D5CDD505-2E9C-101B-9397-08002B2CF9AE}" pid="12" name="RecordPoint_ActiveItemWebId">
    <vt:lpwstr>{01441163-d544-4d48-98ed-6089e3907a31}</vt:lpwstr>
  </property>
  <property fmtid="{D5CDD505-2E9C-101B-9397-08002B2CF9AE}" pid="13" name="RecordPoint_ActiveItemSiteId">
    <vt:lpwstr>{b020ec19-41c9-45aa-be94-77ce00314512}</vt:lpwstr>
  </property>
  <property fmtid="{D5CDD505-2E9C-101B-9397-08002B2CF9AE}" pid="14" name="RecordPoint_ActiveItemListId">
    <vt:lpwstr>{4f6be910-8aa9-4374-aa32-64f7df39e7a7}</vt:lpwstr>
  </property>
  <property fmtid="{D5CDD505-2E9C-101B-9397-08002B2CF9AE}" pid="15" name="TitusGUID">
    <vt:lpwstr>3c738c30-b433-47ff-9e90-01f320d6e494</vt:lpwstr>
  </property>
  <property fmtid="{D5CDD505-2E9C-101B-9397-08002B2CF9AE}" pid="16" name="SEC">
    <vt:lpwstr>OFFICIAL</vt:lpwstr>
  </property>
  <property fmtid="{D5CDD505-2E9C-101B-9397-08002B2CF9AE}" pid="17" name="MSIP_Label_9d688136-faac-4125-a656-50705a16720d_Enabled">
    <vt:lpwstr>true</vt:lpwstr>
  </property>
  <property fmtid="{D5CDD505-2E9C-101B-9397-08002B2CF9AE}" pid="18" name="MSIP_Label_9d688136-faac-4125-a656-50705a16720d_SetDate">
    <vt:lpwstr>2020-09-03T10:23:08Z</vt:lpwstr>
  </property>
  <property fmtid="{D5CDD505-2E9C-101B-9397-08002B2CF9AE}" pid="19" name="MSIP_Label_9d688136-faac-4125-a656-50705a16720d_Method">
    <vt:lpwstr>Privileged</vt:lpwstr>
  </property>
  <property fmtid="{D5CDD505-2E9C-101B-9397-08002B2CF9AE}" pid="20" name="MSIP_Label_9d688136-faac-4125-a656-50705a16720d_Name">
    <vt:lpwstr>9d688136-faac-4125-a656-50705a16720d</vt:lpwstr>
  </property>
  <property fmtid="{D5CDD505-2E9C-101B-9397-08002B2CF9AE}" pid="21" name="MSIP_Label_9d688136-faac-4125-a656-50705a16720d_SiteId">
    <vt:lpwstr>1de6d9f3-0daf-4df6-b9d6-5959f16f6118</vt:lpwstr>
  </property>
  <property fmtid="{D5CDD505-2E9C-101B-9397-08002B2CF9AE}" pid="22" name="MSIP_Label_9d688136-faac-4125-a656-50705a16720d_ActionId">
    <vt:lpwstr>11a5ac91-3859-4646-9d37-0000b16d7bf9</vt:lpwstr>
  </property>
  <property fmtid="{D5CDD505-2E9C-101B-9397-08002B2CF9AE}" pid="23" name="MSIP_Label_9d688136-faac-4125-a656-50705a16720d_ContentBits">
    <vt:lpwstr>1</vt:lpwstr>
  </property>
  <property fmtid="{D5CDD505-2E9C-101B-9397-08002B2CF9AE}" pid="24" name="RecordPoint_SubmissionDate">
    <vt:lpwstr/>
  </property>
  <property fmtid="{D5CDD505-2E9C-101B-9397-08002B2CF9AE}" pid="25" name="RecordPoint_RecordNumberSubmitted">
    <vt:lpwstr/>
  </property>
  <property fmtid="{D5CDD505-2E9C-101B-9397-08002B2CF9AE}" pid="26" name="RecordPoint_RecordFormat">
    <vt:lpwstr/>
  </property>
  <property fmtid="{D5CDD505-2E9C-101B-9397-08002B2CF9AE}" pid="27" name="RecordPoint_ActiveItemMoved">
    <vt:lpwstr/>
  </property>
  <property fmtid="{D5CDD505-2E9C-101B-9397-08002B2CF9AE}" pid="28" name="RecordPoint_SubmissionCompleted">
    <vt:lpwstr/>
  </property>
</Properties>
</file>